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صلّى قاعداً،ثم صحّ-كتاب الصلاة-صحيح البخاري — رقم الحديث: 1119 — الرقم الفرعي: 99 — الرقم الأصلي: 1119</w:t>
        <w:br/>
      </w:r>
      <w:r>
        <w:rPr>
          <w:rtl w:val="1"/>
        </w:rPr>
        <w:t xml:space="preserve"> حدثنا عبد الله بن يوسف قال: أخبرنا مالك عن عبد الله بن يزيد و أبي النضر ملاحظة مولى عمر بن عبيد الله عن أبي سلمة بن عبد الرحمن عن عائشة ملاحظة أم المؤمنين رضي الله عنها</w:t>
        <w:br/>
      </w:r>
      <w:r>
        <w:rPr>
          <w:color w:val="000000"/>
          <w:rtl w:val="1"/>
        </w:rPr>
        <w:t xml:space="preserve">أنَّ رسولَ الله ﷺ كان يُصلِّي جالسًا  </w:t>
      </w:r>
      <w:r>
        <w:rPr>
          <w:color w:val="000000"/>
          <w:rtl w:val="1"/>
        </w:rPr>
        <w:t xml:space="preserve">فيَقرَأُ وهو جالسٌ، فإذا بَقِيَ من قراءَتِه نَحْوٌ من ثلاثينَ أو أربعينَ آيةً قامَ فقرأَها وهو قائمٌ، ثمَّ رَكَعَ، ثمَّ سَجَدَ،  </w:t>
      </w:r>
      <w:r>
        <w:rPr>
          <w:color w:val="000000"/>
          <w:rtl w:val="1"/>
        </w:rPr>
        <w:t xml:space="preserve">يَفْعَلُ في الرَّكْعةِ الثّانيةِ مِثلَ ذلكَ،  </w:t>
      </w:r>
      <w:r>
        <w:rPr>
          <w:color w:val="FF0000"/>
          <w:rtl w:val="1"/>
        </w:rPr>
        <w:t xml:space="preserve">فإذا قَضَى صلاتَه نَظَرَ، فإنْ كنتُ يَقْظَى تَحدَّثَ معي، وإنْ كنتُ نائمةً اضْطَجَعَ.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تواضعه ورفقه ﷺ في معاملة أهل بيته - تواضع النبي ﷺ ورفقه وحلمه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