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ملازمة جماعة المسلمين عند ظهور الفتن،وفي كل حال-كتاب الإمارة-صحيح مسلم — رقم الحديث: 1851 — الرقم الفرعي: 1 — الرقم الأصلي: 1851</w:t>
        <w:br/>
      </w:r>
      <w:r>
        <w:rPr>
          <w:rtl w:val="1"/>
        </w:rPr>
        <w:t xml:space="preserve"> حدثنا عبيد الله بن معاذ العنبريّ حدثنا أبي حدثنا عاصم ملاحظة وهو ابن محمد بن زيد عن زيد بن محمد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عبد الله بن عُمر إلى عبدِ الله بن مُطيع حين كان من أَمرِ الحَرَّة ما كان، زَمنَ يَزيدَ بنِ معاوية،  </w:t>
      </w:r>
      <w:r>
        <w:rPr>
          <w:color w:val="FF0000"/>
          <w:rtl w:val="1"/>
        </w:rPr>
        <w:t xml:space="preserve">فقال: اطرَحُوا لأبي عبدِ الرّحمن وِسادةً،  </w:t>
      </w:r>
      <w:r>
        <w:rPr>
          <w:color w:val="FF0000"/>
          <w:rtl w:val="1"/>
        </w:rPr>
        <w:t xml:space="preserve">فقال: إنِّي لم آتِكَ لِأجلِسَ، أتيتُك لِأُحَدِّثَك حديثًا سَمعتُ رسولَ الله ﷺ يقوله؛  </w:t>
      </w:r>
      <w:r>
        <w:rPr>
          <w:color w:val="FF0000"/>
          <w:rtl w:val="1"/>
        </w:rPr>
        <w:t xml:space="preserve">سَمعتُ رسولَ الله ﷺ يقول:  </w:t>
      </w:r>
      <w:r>
        <w:rPr>
          <w:color w:val="FF0000"/>
          <w:rtl w:val="1"/>
        </w:rPr>
        <w:t xml:space="preserve">«مَن خَلَع يدًا مِن طاعةٍ، لَقِيَ اللهَ يومَ القِيامةِ لا حُجّةَ له،  </w:t>
      </w:r>
      <w:r>
        <w:rPr>
          <w:color w:val="FF0000"/>
          <w:rtl w:val="1"/>
        </w:rPr>
        <w:t xml:space="preserve">ومَن ماتَ ولَيس في عُنقِه بَيعةٌ، ماتَ مِيتةً جاهِليّة».  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 البيعة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