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6692 — الرقم الفرعي: 99 — الرقم الأصلي: 6692</w:t>
        <w:br/>
      </w:r>
      <w:r>
        <w:rPr>
          <w:rtl w:val="1"/>
        </w:rPr>
        <w:t xml:space="preserve"> حدثنا يزيد أخبرنا محمد بن إسحاق عن عمرو بن شعيب عن أبيه عن جده ملاحظة عبد الله بن عمرو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لمَّا دخلَ رسولُ الله ﷺ مكّةَ عامَ الفتح، قامَ في النّاسِ خَطِيبًا، فقال: «يا أيُّها النّاس، إنّه ما كان مِن حِلفٍ في الجاهليّة، فإنَّ الإسلامَ لم يَزِدْه إلّا شِدَّة،  </w:t>
      </w:r>
      <w:r>
        <w:rPr>
          <w:color w:val="FF0000"/>
          <w:rtl w:val="1"/>
        </w:rPr>
        <w:t xml:space="preserve">ولا حِلْفَ في الإسلام،  </w:t>
      </w:r>
      <w:r>
        <w:rPr>
          <w:color w:val="FF0000"/>
          <w:rtl w:val="1"/>
        </w:rPr>
        <w:t xml:space="preserve">والمُسلمونَ يدٌ على مَن سِواهم، تكافأُ دِماؤهم، يُجيرُ عليهم أَدناهم، ويَرُدُّ عليهم أَقصاهم، تُرَدُّ سَراياهم على قَعَدِهم،  </w:t>
      </w:r>
      <w:r>
        <w:rPr>
          <w:color w:val="FF0000"/>
          <w:rtl w:val="1"/>
        </w:rPr>
        <w:t xml:space="preserve">لا يُقتَلُ مؤمنٌ بكافر،  </w:t>
      </w:r>
      <w:r>
        <w:rPr>
          <w:color w:val="FF0000"/>
          <w:rtl w:val="1"/>
        </w:rPr>
        <w:t xml:space="preserve">ديةُ الكافر نصفُ ديةِ المسلم،  </w:t>
      </w:r>
      <w:r>
        <w:rPr>
          <w:color w:val="FF0000"/>
          <w:rtl w:val="1"/>
        </w:rPr>
        <w:t xml:space="preserve">لا جَلَبَ ولا جَنَبَ، ولا تؤخذُ صدقاتُهم إلّا في ديارِهم».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خطبة النبي صلى الله عليه وسلم بعد الفتح - فتح مكة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