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إقطاع الأرضين-كتاب الخراج والإمارة والفيء-سنن أبي داود — رقم الحديث: 3070 — الرقم الفرعي: 99 — الرقم الأصلي: 3070</w:t>
        <w:br/>
      </w:r>
      <w:r>
        <w:rPr>
          <w:rtl w:val="1"/>
        </w:rPr>
        <w:t xml:space="preserve"> حدثنا حفص بن عمر و موسى بن إسماعيل ملاحظة المعنى واحد قالا:ثنا عبد الله بن حسان العنبريّ</w:t>
        <w:br/>
      </w:r>
      <w:r>
        <w:rPr>
          <w:color w:val="000000"/>
          <w:rtl w:val="1"/>
        </w:rPr>
        <w:t xml:space="preserve">حدَّثتني جدَّتاي صَفيّةُ ودُحَيبَةُ ابنتا عُلَيبَةَ - وكانتا رَبيبتَيْ قَيلَةَ بنتِ مَخْرَمةَ، رضي الله عنها، وكانت جّدَّةَ أبيهما - أنها أخبَرتْهما،  </w:t>
      </w:r>
      <w:r>
        <w:rPr>
          <w:color w:val="000000"/>
          <w:rtl w:val="1"/>
        </w:rPr>
        <w:t xml:space="preserve">قالت: قدِمْنا على رسولِ الله ﷺ،  </w:t>
      </w:r>
      <w:r>
        <w:rPr>
          <w:color w:val="000000"/>
          <w:rtl w:val="1"/>
        </w:rPr>
        <w:t xml:space="preserve">قالت: تقدَّم صاحِبِي - تعني حُرَيْثَ بنَ حسان، وافدَ بكرِ بن وائلٍ - فبايعَه على الإسلامِ عليه وعلى قومِه،  </w:t>
      </w:r>
      <w:r>
        <w:rPr>
          <w:color w:val="000000"/>
          <w:rtl w:val="1"/>
        </w:rPr>
        <w:t xml:space="preserve">ثم قال: يا رسولَ الله، اكتُبْ بينَنا وبينَ بني تَمِيم بالدَّهناء: أن لا يُجاوزَها إلينا منهم أحدٌ إلا مسافرٌ أو مُجاوِرٌ،  </w:t>
      </w:r>
      <w:r>
        <w:rPr>
          <w:color w:val="000000"/>
          <w:rtl w:val="1"/>
        </w:rPr>
        <w:t xml:space="preserve">فقال: «اكتُبْ له يا غلامُ بالدَّهناء»،  </w:t>
      </w:r>
      <w:r>
        <w:rPr>
          <w:color w:val="000000"/>
          <w:rtl w:val="1"/>
        </w:rPr>
        <w:t xml:space="preserve">فلمّا رأيتُه قد أَمَرَ له بها شُخِصَ بي وهي وَطَني ودارِي،  </w:t>
      </w:r>
      <w:r>
        <w:rPr>
          <w:color w:val="FF0000"/>
          <w:rtl w:val="1"/>
        </w:rPr>
        <w:t xml:space="preserve">فقلتُ: يا رسولَ الله، إنّه لم يَسألْكَ السَّويَّةَ من الأرضِ إذ سألك، إنّما هذه الدَّهناءُ عندَكَ مُقَيَّدُ الجَمَلِ، ومَرْعَى الغنم، ونساءُ تميمٍ وأبناؤها وراءَ ذلك،  </w:t>
      </w:r>
      <w:r>
        <w:rPr>
          <w:color w:val="FF0000"/>
          <w:rtl w:val="1"/>
        </w:rPr>
        <w:t xml:space="preserve">فقال: «أمسِكْ يا غلامُ، صدَقَتِ المِسكينةُ،  </w:t>
      </w:r>
      <w:r>
        <w:rPr>
          <w:color w:val="FF0000"/>
          <w:rtl w:val="1"/>
        </w:rPr>
        <w:t xml:space="preserve">المسلمُ أخو المسلم، يَسَعُهُما الماءُ والشجرُ، ويتعاونانِ على الفَتَّان». </w:t>
      </w:r>
      <w:r>
        <w:rPr>
          <w:color w:val="000000"/>
          <w:rtl w:val="1"/>
        </w:rPr>
        <w:t xml:space="preserve">سُئل أبو داودَ عن الفتّان؟ فقال: الشَّيطان.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الوفود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ما ورد في سائر الأمكنة والبلدان (ترتيب هجائي)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قيمة تكافؤ الفرص في المواطَنة وتوزيع الثروة - قيم تكافؤ الفُرَص</w:t>
      </w:r>
    </w:p>
    <w:p>
      <w:pPr>
        <w:bidi w:val="1"/>
        <w:jc w:val="start"/>
      </w:pPr>
      <w:r>
        <w:rPr>
          <w:rtl w:val="1"/>
        </w:rPr>
        <w:t>الشرح: الدلالة: البيعة - فقه الدعوة</w:t>
      </w:r>
    </w:p>
    <w:p>
      <w:pPr>
        <w:bidi w:val="1"/>
        <w:jc w:val="start"/>
      </w:pPr>
      <w:r>
        <w:rPr>
          <w:rtl w:val="1"/>
        </w:rPr>
        <w:t>الشرح: الدلالة: المصلحة العامة - مبادئ الإدارة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التقويم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عدله ﷺ بين أصحابه - عدل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