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سنن الترمذي — باب التوبة مفتوح قبل الغرغرة-كتاب الدعوات-سنن الترمذي — رقم الحديث: 3537 — الرقم الفرعي: 99 — الرقم الأصلي: 3532</w:t>
        <w:br/>
      </w:r>
      <w:r>
        <w:rPr>
          <w:rtl w:val="1"/>
        </w:rPr>
        <w:t xml:space="preserve"> حدثنا إبراهيم بن يعقوب حدثنا عليّ بن عيّاش الحمصيّ حدثنا عبد الرحمن بن ثابت بن ثوبان عن أبيه عن مكحول عن جُبير بن نُفير عن ابن عمر عن النبي صلى الله عليه وسلم</w:t>
        <w:br/>
      </w:r>
      <w:r>
        <w:rPr>
          <w:color w:val="FF0000"/>
          <w:rtl w:val="1"/>
        </w:rPr>
        <w:t xml:space="preserve">قال: «‌إنَّ ‌اللهَ ‌يَقْبلُ ‌تَوْبةَ ‌العَبْدِ ما لم يُغَرغِرْ». </w:t>
      </w:r>
      <w:r>
        <w:rPr>
          <w:color w:val="000000"/>
          <w:rtl w:val="1"/>
        </w:rPr>
        <w:t xml:space="preserve">هذا حديثٌ حَسَنٌ غريبٌ. </w:t>
      </w:r>
      <w:r>
        <w:rPr>
          <w:color w:val="000000"/>
          <w:rtl w:val="1"/>
        </w:rPr>
        <w:t xml:space="preserve">حَدَّثَنا محمدُ بن بَشَّارٍ، قَال: حَدَّثَنا أبو عامرٍ العَقَدِيُّ، عن عَبد الرحمن بن ثابتِ بن ثَوْبانَ، عن أبيهِ، عن مَكحُولٍ، عن جُبَيْر بن نُفَيْرٍ، عن ابن عُمرَ، عن النبيِّ ﷺ، نَحوَهُ بِمَعناهُ. </w:t>
      </w:r>
      <w:r>
        <w:rPr>
          <w:color w:val="000000"/>
          <w:rtl w:val="1"/>
        </w:rPr>
        <w:t xml:space="preserve">وقد رُوِيَ هذا الحديثُ عن مكحول بإسنادٍ له عن أبي ذَرٍّ، عن النبيِّ ﷺ نحوَ هذا. </w:t>
      </w:r>
    </w:p>
    <w:p>
      <w:pPr>
        <w:bidi w:val="1"/>
        <w:jc w:val="start"/>
      </w:pPr>
      <w:r>
        <w:rPr>
          <w:rtl w:val="1"/>
        </w:rPr>
        <w:t>درجة الحديث: حسن</w:t>
      </w:r>
    </w:p>
    <w:p>
      <w:pPr>
        <w:bidi w:val="1"/>
        <w:jc w:val="start"/>
      </w:pPr>
      <w:r>
        <w:rPr>
          <w:rtl w:val="1"/>
        </w:rPr>
        <w:t>الشرح: الدلالة: التوجيه بترك المعصية - العقوبات</w:t>
      </w:r>
    </w:p>
    <w:p>
      <w:pPr>
        <w:bidi w:val="1"/>
        <w:jc w:val="start"/>
      </w:pPr>
      <w:r>
        <w:rPr>
          <w:rtl w:val="1"/>
        </w:rPr>
        <w:t>الشرح: الدلالة: الترغيب بالتوبة - التوجيه بترك ألمعصية</w:t>
      </w:r>
    </w:p>
    <w:p>
      <w:pPr>
        <w:bidi w:val="1"/>
        <w:jc w:val="start"/>
      </w:pPr>
      <w:r>
        <w:rPr>
          <w:rtl w:val="1"/>
        </w:rPr>
        <w:t>الشرح: الدلالة: رحمة الله تعالى ومغفرته - وجود الله تعالى</w:t>
      </w:r>
    </w:p>
    <w:p>
      <w:pPr>
        <w:bidi w:val="1"/>
        <w:jc w:val="start"/>
      </w:pPr>
      <w:r>
        <w:rPr>
          <w:rtl w:val="1"/>
        </w:rPr>
        <w:t>الشرح: الدلالة: التصور الإسلامي للالوهية - التصور الإسلامي</w:t>
      </w:r>
    </w:p>
    <w:p>
      <w:pPr>
        <w:bidi w:val="1"/>
        <w:jc w:val="start"/>
      </w:pPr>
      <w:r>
        <w:rPr>
          <w:rtl w:val="1"/>
        </w:rPr>
        <w:t>الشرح: الدلالة: حسن غريب - الغريب ( الفرد )</w:t>
      </w:r>
    </w:p>
    <w:p>
      <w:pPr>
        <w:bidi w:val="1"/>
        <w:jc w:val="start"/>
      </w:pPr>
      <w:r>
        <w:rPr>
          <w:rtl w:val="1"/>
        </w:rPr>
        <w:t>الشرح: الدلالة: التوبة - أساليب التقويم</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