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إباحة فسخ الحجّ بعمرة،لمن لم يسق الهدي-كتاب مناسك الحج-سنن النسائي — رقم الحديث: 2806 — الرقم الفرعي: 99 — الرقم الأصلي: 2806</w:t>
        <w:br/>
      </w:r>
      <w:r>
        <w:rPr>
          <w:rtl w:val="1"/>
        </w:rPr>
        <w:t xml:space="preserve"> أخبرنا محمد بن بشّار قال:حدثنا محمد قال:حدثنا شعبة عن عبد الملك عن طاوُس عن سُراقة بن مالك بن جَعشم</w:t>
        <w:br/>
      </w:r>
      <w:r>
        <w:rPr>
          <w:color w:val="FF0000"/>
          <w:rtl w:val="1"/>
        </w:rPr>
        <w:t xml:space="preserve">أَنَّه قال: يا رسولَ اللَّهِ أَرَأَيتَ عُمرَتَنا هذه لعامِنا أَم لأَبدٍ؟ قال رسولُ اللَّهِ ﷺ: «هِيَ لِأَبَدٍ».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مشروعية العمرة وفضلها وحكمها. - العمرة</w:t>
      </w:r>
    </w:p>
    <w:p>
      <w:pPr>
        <w:bidi w:val="1"/>
        <w:jc w:val="start"/>
      </w:pPr>
      <w:r>
        <w:rPr>
          <w:rtl w:val="1"/>
        </w:rPr>
        <w:t>الشرح: الدلالة: العمرة في أشهر الحج - وقت العمرة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