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حديث جابر الطويل،وقصة أبي اليسر-كتاب الزهد والرقائق-صحيح مسلم — رقم الحديث: 3006 — الرقم الفرعي: 99 — الرقم الأصلي: 3006</w:t>
        <w:br/>
      </w:r>
      <w:r>
        <w:rPr>
          <w:rtl w:val="1"/>
        </w:rPr>
        <w:t xml:space="preserve"> حدثنا هارون بن معروف و محمد بن عبّاد ملاحظة وتقاربا في لفظ الحديث،والسّياق لهارون قالا:حدثنا حاتم بن إسماعيل عن يعقوب بن مجاهد،أبي حَزْرَة عن عبادة بن الوليد بن عبادة بن الصامت</w:t>
        <w:br/>
      </w:r>
      <w:r>
        <w:rPr>
          <w:color w:val="FF0000"/>
          <w:rtl w:val="1"/>
        </w:rPr>
        <w:t xml:space="preserve">قال: خَرجتُ أنا وأبي نَطلبُ العلمَ في هذا الحَيِّ مِن الأنصار، قَبل أن يَهلِكُوا،  </w:t>
      </w:r>
      <w:r>
        <w:rPr>
          <w:color w:val="FF0000"/>
          <w:rtl w:val="1"/>
        </w:rPr>
        <w:t xml:space="preserve">فكان أولُ مَن لَقِيْنا أبا اليَسَر، صاحبَ رسولِ الله ﷺ، ومعه غُلامٌ له، معه ضِمَامةٌ مِن صُحفٍ،  </w:t>
      </w:r>
      <w:r>
        <w:rPr>
          <w:color w:val="FF0000"/>
          <w:rtl w:val="1"/>
        </w:rPr>
        <w:t xml:space="preserve">وعلى أبي اليَسَر بُردَةٌ ومَعَافِرِيٌّ، وعلى غُلامِه بُردةٌ ومَعَافِرِيٌّ،  </w:t>
      </w:r>
      <w:r>
        <w:rPr>
          <w:color w:val="000000"/>
          <w:rtl w:val="1"/>
        </w:rPr>
        <w:t xml:space="preserve">فقال له أبي: يا عمّ، إني أرى في وَجهِك سَفْعَةً مِن غَضَب،  </w:t>
      </w:r>
      <w:r>
        <w:rPr>
          <w:color w:val="FF0000"/>
          <w:rtl w:val="1"/>
        </w:rPr>
        <w:t xml:space="preserve">قال: أجَل، كان لي على فُلان ابن فُلان الحَرامِيّ مالٌ، فأتيتُ أهلَه، فسَلَّمْتُ، فقلت: ثَمَّ هُو؟ قالوا: لا،  </w:t>
      </w:r>
      <w:r>
        <w:rPr>
          <w:color w:val="FF0000"/>
          <w:rtl w:val="1"/>
        </w:rPr>
        <w:t xml:space="preserve">فخَرج عليَّ ابنٌ له جَفْرٌ، فقلت له: أين أبوك؟ قال: سمِع صوتَك، فدخل أَرِيكةَ أُمّي،  </w:t>
      </w:r>
      <w:r>
        <w:rPr>
          <w:color w:val="FF0000"/>
          <w:rtl w:val="1"/>
        </w:rPr>
        <w:t xml:space="preserve">فقلت: اخْرُج إليَّ، فقد علمتُ أينَ أنتَ، فخَرَجَ،  </w:t>
      </w:r>
      <w:r>
        <w:rPr>
          <w:color w:val="FF0000"/>
          <w:rtl w:val="1"/>
        </w:rPr>
        <w:t xml:space="preserve">فقلتُ: ما حَمَلَك على أنِ اخْتَبَأتَ منّي؟ قال: أنا - واللهِ - أُحدِّثُك، ثُمّ لا أَكذِبُك، خَشيتُ - واللهِ - أن أُحدِّثَك فأَكذِبَك، وأن أَعِدَك فأُخلِفَك،  </w:t>
      </w:r>
      <w:r>
        <w:rPr>
          <w:color w:val="FF0000"/>
          <w:rtl w:val="1"/>
        </w:rPr>
        <w:t xml:space="preserve">وكنتَ صاحبَ رسولِ الله ﷺ،  </w:t>
      </w:r>
      <w:r>
        <w:rPr>
          <w:color w:val="FF0000"/>
          <w:rtl w:val="1"/>
        </w:rPr>
        <w:t xml:space="preserve">وكنتُ - والله مُعسِرًا -  </w:t>
      </w:r>
      <w:r>
        <w:rPr>
          <w:color w:val="FF0000"/>
          <w:rtl w:val="1"/>
        </w:rPr>
        <w:t xml:space="preserve">قال: قلتُ: آللهِ؟ قال: اللهِ، قلتُ: آللهِ؟ قال: اللهِ، قلت: آللهِ؟ قال: اللهِ،  </w:t>
      </w:r>
      <w:r>
        <w:rPr>
          <w:color w:val="FF0000"/>
          <w:rtl w:val="1"/>
        </w:rPr>
        <w:t xml:space="preserve">قال: فأَتى بصَحِيفَتِه فمَحَاها بِيَدِه، فقال: إن وَجدْتَ قَضاءً فاقضِنِي، وإلّا، أنتَ في حِلٍّ،  </w:t>
      </w:r>
      <w:r>
        <w:rPr>
          <w:color w:val="FF0000"/>
          <w:rtl w:val="1"/>
        </w:rPr>
        <w:t xml:space="preserve">فأشهَدُ بَصَرُ عَينَيَّ هاتَين - ووضَع إصبَعَيه على عَينَيه - وسَمْعُ أُذُنَيَّ هاتَين، ووعاهُ قَلبِي هذا - وأشار إلى مَنَاط قَلبِه - رسولَ الله ﷺ وهو يقول:  </w:t>
      </w:r>
      <w:r>
        <w:rPr>
          <w:color w:val="FF0000"/>
          <w:rtl w:val="1"/>
        </w:rPr>
        <w:t xml:space="preserve">«مَن أَنظَرَ مُعسِرًا أو وضَعَ عنه، أَظَلَّه اللهُ في ظِلِّه».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القلب - طرق المعرفة</w:t>
      </w:r>
    </w:p>
    <w:p>
      <w:pPr>
        <w:bidi w:val="1"/>
        <w:jc w:val="start"/>
      </w:pPr>
      <w:r>
        <w:rPr>
          <w:rtl w:val="1"/>
        </w:rPr>
        <w:t>الشرح: الدلالة: قيمة التكافل مع المُعسِر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السماحة في إنظار المعسِر - قيمة السَّماحة والمُلاطَفة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خامسًا: قيمة القرض الحسن، وإنظار المعسر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قيمة الحرص على طلب العلم - قيم تقدير العِلم</w:t>
      </w:r>
    </w:p>
    <w:p>
      <w:pPr>
        <w:bidi w:val="1"/>
        <w:jc w:val="start"/>
      </w:pPr>
      <w:r>
        <w:rPr>
          <w:rtl w:val="1"/>
        </w:rPr>
        <w:t>الشرح: الدلالة: قيمة توريث العلم - قيم تقدير العِلم</w:t>
      </w:r>
    </w:p>
    <w:p>
      <w:pPr>
        <w:bidi w:val="1"/>
        <w:jc w:val="start"/>
      </w:pPr>
      <w:r>
        <w:rPr>
          <w:rtl w:val="1"/>
        </w:rPr>
        <w:t>الشرح: الدلالة: قيمة الرِّحلةِ للقاء أهل العلم، ومُلازمتِهم والإفادةِ منهم - قيم تقدير العلماء</w:t>
      </w:r>
    </w:p>
    <w:p>
      <w:pPr>
        <w:bidi w:val="1"/>
        <w:jc w:val="start"/>
      </w:pPr>
      <w:r>
        <w:rPr>
          <w:rtl w:val="1"/>
        </w:rPr>
        <w:t>الشرح: الدلالة: الذين يظلهم الله في المحشر - أحوال المؤمنين في الحشر</w:t>
      </w:r>
    </w:p>
    <w:p>
      <w:pPr>
        <w:bidi w:val="1"/>
        <w:jc w:val="start"/>
      </w:pPr>
      <w:r>
        <w:rPr>
          <w:rtl w:val="1"/>
        </w:rPr>
        <w:t>الشرح: الدلالة: البردة - أسماء الملابس</w:t>
      </w:r>
    </w:p>
    <w:p>
      <w:pPr>
        <w:bidi w:val="1"/>
        <w:jc w:val="start"/>
      </w:pPr>
      <w:r>
        <w:rPr>
          <w:rtl w:val="1"/>
        </w:rPr>
        <w:t>الشرح: الدلالة: المعافري.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