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المحافظة على وقت الصلوات-كتاب الصلاة-سنن أبي داود — رقم الحديث: 427 — الرقم الفرعي: 99 — الرقم الأصلي: 427</w:t>
        <w:br/>
      </w:r>
      <w:r>
        <w:rPr>
          <w:rtl w:val="1"/>
        </w:rPr>
        <w:t xml:space="preserve"> حدثنا مُسدّد ثنا يحيى عن إسماعيل بن أبي خالد ثنا أبو بكر بن عمارة بن رُؤَيْبَة عن أبيه</w:t>
        <w:br/>
      </w:r>
      <w:r>
        <w:rPr>
          <w:color w:val="000000"/>
          <w:rtl w:val="1"/>
        </w:rPr>
        <w:t xml:space="preserve">قال: سأله رجلٌ من أهلِ البصرةِ فقال: أخبِرني ما سمعتَ من رسولِ الله ﷺ، قال: سمعتُ رسولَ الله ﷺ يقول:  </w:t>
      </w:r>
      <w:r>
        <w:rPr>
          <w:color w:val="FF0000"/>
          <w:rtl w:val="1"/>
        </w:rPr>
        <w:t xml:space="preserve">«لا يَلجُ النارَ رجل صلى قبلَ طُلوعِ الشَّمسِ وقبلَ أن تَغرُبَ»، </w:t>
      </w:r>
      <w:r>
        <w:rPr>
          <w:color w:val="000000"/>
          <w:rtl w:val="1"/>
        </w:rPr>
        <w:t xml:space="preserve">قال: أنتَ سمعتَه منه -ثلاثَ مرَّات-؟ قال: نعم، كل ذلك يقول: سَمِعَته أُذُنايَ ووَعاهُ قلبي، فقال الرجلُ: وأنا سَمِعتُه يقولُ ذلك.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صلاة العصر والمحافظة عليها - صلاة العصر</w:t>
      </w:r>
    </w:p>
    <w:p>
      <w:pPr>
        <w:bidi w:val="1"/>
        <w:jc w:val="start"/>
      </w:pPr>
      <w:r>
        <w:rPr>
          <w:rtl w:val="1"/>
        </w:rPr>
        <w:t>الشرح: الدلالة: الأعمال التي تدخل صاحبها الجنة----------------------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