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الجنب يتيمّم-كتاب الطهارة-سنن أبي داود — رقم الحديث: 332 — الرقم الفرعي: 99 — الرقم الأصلي: 332</w:t>
        <w:br/>
      </w:r>
      <w:r>
        <w:rPr>
          <w:rtl w:val="1"/>
        </w:rPr>
        <w:t xml:space="preserve"> حدثنا عمرو بن عون أخبرنا خالد الواسطيّ عن خالد الحذّاء عن أبي قلابة ح وحدثنا مُسدد أخبرنا خالد ملاحظة يعني ابن عبد الله الواسطيّ عن خالد الحذّاء عن أبي قلابة عن عمرو بن بُجدان عن أبي ذرّ</w:t>
        <w:br/>
      </w:r>
      <w:r>
        <w:rPr>
          <w:color w:val="000000"/>
          <w:rtl w:val="1"/>
        </w:rPr>
        <w:t xml:space="preserve">قال: اجتَمَعَت غُنَيمةٌ عندَ رسولِ الله ﷺ </w:t>
      </w:r>
      <w:r>
        <w:rPr>
          <w:color w:val="FF0000"/>
          <w:rtl w:val="1"/>
        </w:rPr>
        <w:t xml:space="preserve">فقال: «يا أبا ذَرّ، ابدُ فيها» فبَدَوتُ إلى الرَّبَذةِ،  </w:t>
      </w:r>
      <w:r>
        <w:rPr>
          <w:color w:val="FF0000"/>
          <w:rtl w:val="1"/>
        </w:rPr>
        <w:t xml:space="preserve">فكانت تُصيبُني الجَنابةُ، فأمكُثُ الخمسَ والسِّتَّ،  </w:t>
      </w:r>
      <w:r>
        <w:rPr>
          <w:color w:val="FF0000"/>
          <w:rtl w:val="1"/>
        </w:rPr>
        <w:t xml:space="preserve">فأتيتُ النبيَّ ﷺ فقال: «أبو ذَرّ!» فسَكَتُّ، فقال: «ثَكِلَتكَ أُمُّكَ أبا ذَرّ، لأُمِّكَ الوَيلُ» </w:t>
      </w:r>
      <w:r>
        <w:rPr>
          <w:color w:val="FF0000"/>
          <w:rtl w:val="1"/>
        </w:rPr>
        <w:t xml:space="preserve">فدعا لي بجاريةٍ سوداءَ، فجاءت بعُسٍّ فيه ماءٌ، فسَتَرَتني بثَوبٍ، واستَتَرتُ بالراحِلَةِ، واغتَسَلتُ،  </w:t>
      </w:r>
      <w:r>
        <w:rPr>
          <w:color w:val="FF0000"/>
          <w:rtl w:val="1"/>
        </w:rPr>
        <w:t xml:space="preserve">فكأنِّي ألقَيتُ عنِّي جَبَلًا،  </w:t>
      </w:r>
      <w:r>
        <w:rPr>
          <w:color w:val="FF0000"/>
          <w:rtl w:val="1"/>
        </w:rPr>
        <w:t xml:space="preserve">فقال: «الصَّعيدُ الطيَّبُ وَضوءُ المُسلِمِ ولو إلى عَشْرِ سِنينَ،  </w:t>
      </w:r>
      <w:r>
        <w:rPr>
          <w:color w:val="FF0000"/>
          <w:rtl w:val="1"/>
        </w:rPr>
        <w:t xml:space="preserve">فإذا وَجَدتَ الماءَ فأَمِسَّه جِلدَكَ، فإنَّ ذلك خيرٌ».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مشروعية التيمم - التيمم</w:t>
      </w:r>
    </w:p>
    <w:p>
      <w:pPr>
        <w:bidi w:val="1"/>
        <w:jc w:val="start"/>
      </w:pPr>
      <w:r>
        <w:rPr>
          <w:rtl w:val="1"/>
        </w:rPr>
        <w:t>الشرح: الدلالة: فقدان الماء - أسباب التيمم</w:t>
      </w:r>
    </w:p>
    <w:p>
      <w:pPr>
        <w:bidi w:val="1"/>
        <w:jc w:val="start"/>
      </w:pPr>
      <w:r>
        <w:rPr>
          <w:rtl w:val="1"/>
        </w:rPr>
        <w:t>الشرح: الدلالة: التيمم بالتراب والصعيد وأجزاء الأرض - ما يتيمم به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وجود الماء الطهور الكافي - شروط وجوب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