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الندب إلى وضع الأيدي على الركب في الركوع،ونسخ التطبيق-كتاب المساجد ومواضع الصلاة-صحيح مسلم — رقم الحديث: 534 — الرقم الفرعي: 1 — الرقم الأصلي: 534</w:t>
        <w:br/>
      </w:r>
      <w:r>
        <w:rPr>
          <w:rtl w:val="1"/>
        </w:rPr>
        <w:t xml:space="preserve"> حدثنا محمد بن العلاء الهَمْدانيّ،أبو كُريب قال:حدثنا أبو معاوية عن الأعمش عن إبراهيم عن الأسود و علقمة</w:t>
        <w:br/>
      </w:r>
      <w:r>
        <w:rPr>
          <w:color w:val="000000"/>
          <w:rtl w:val="1"/>
        </w:rPr>
        <w:t xml:space="preserve">قالا: أتَينا عبدَ الله بنَ مسعودٍ في داره،  </w:t>
      </w:r>
      <w:r>
        <w:rPr>
          <w:color w:val="FF0000"/>
          <w:rtl w:val="1"/>
        </w:rPr>
        <w:t xml:space="preserve">فقال: أَصلَّى هؤلاءِ خَلفَكم؟ فقلنا: لا، قال: فقُومُوا فصلُّوا،  </w:t>
      </w:r>
      <w:r>
        <w:rPr>
          <w:color w:val="FF0000"/>
          <w:rtl w:val="1"/>
        </w:rPr>
        <w:t xml:space="preserve">فلم يأمُرْنا بأذانٍ ولا إقامة،  </w:t>
      </w:r>
      <w:r>
        <w:rPr>
          <w:color w:val="FF0000"/>
          <w:rtl w:val="1"/>
        </w:rPr>
        <w:t xml:space="preserve">قال: وذهبنا لِنقومَ خَلْفَه، فأخذَ بأيدِينا فجَعَلَ أحدَنا عن يَمينِه والآخرَ عن شِمالِه،  </w:t>
      </w:r>
      <w:r>
        <w:rPr>
          <w:color w:val="FF0000"/>
          <w:rtl w:val="1"/>
        </w:rPr>
        <w:t xml:space="preserve">قال: فلمّا رَكَعَ وضَعْنا أيدِيَنا على رُكَبنا، قال: فضَرَبَ أيدِيَنا  </w:t>
      </w:r>
      <w:r>
        <w:rPr>
          <w:color w:val="FF0000"/>
          <w:rtl w:val="1"/>
        </w:rPr>
        <w:t xml:space="preserve">وطبَّقَ بين كفَّيه، ثم أدخَلَهما بين فخِذَيه،  </w:t>
      </w:r>
      <w:r>
        <w:rPr>
          <w:color w:val="FF0000"/>
          <w:rtl w:val="1"/>
        </w:rPr>
        <w:t xml:space="preserve">قال: فلمَّا صلى، قال: إنّه ستَكونُ عليكُم أُمَراءُ يؤخِّرونَ الصلاةَ عن مِيقاتِها، ويَخنُقونَها إلى شَرَقِ الموتى،  </w:t>
      </w:r>
      <w:r>
        <w:rPr>
          <w:color w:val="FF0000"/>
          <w:rtl w:val="1"/>
        </w:rPr>
        <w:t xml:space="preserve">فإذا رأيتُموهم قد فَعَلُوا ذلك، فصلُّوا الصلاةَ لمِيقاتِها، واجعَلوا صلاتَكم معهم سُبْحة،  </w:t>
      </w:r>
      <w:r>
        <w:rPr>
          <w:color w:val="FF0000"/>
          <w:rtl w:val="1"/>
        </w:rPr>
        <w:t xml:space="preserve">وإذا كنتُم ثلاثةً فصلُّوا جميعًا،  </w:t>
      </w:r>
      <w:r>
        <w:rPr>
          <w:color w:val="000000"/>
          <w:rtl w:val="1"/>
        </w:rPr>
        <w:t xml:space="preserve">وإذا كنتُم أكثرَ من ذلك، فليؤمَّكُم أحدُكم،  </w:t>
      </w:r>
      <w:r>
        <w:rPr>
          <w:color w:val="FF0000"/>
          <w:rtl w:val="1"/>
        </w:rPr>
        <w:t xml:space="preserve">وإذا رَكَعَ أحدُكم فليُفْرِشْ ذِراعَيهِ على فخِذَيه، ولْيَجْنأْ، ولْيُطبِّقْ بينَ كفَّيه،  </w:t>
      </w:r>
      <w:r>
        <w:rPr>
          <w:color w:val="FF0000"/>
          <w:rtl w:val="1"/>
        </w:rPr>
        <w:t xml:space="preserve">فلَكَأنِّي أنظرُ إلى اختِلافِ أصابعِ رسولِ الله ﷺ، فأراهم.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وقوف الإمام بين المصلين - الصف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الصلاة دون أذان ولا إقامة - الأذان والإقامة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اختلاف نية المأموم عن الإمام - متابعة الإمام</w:t>
      </w:r>
    </w:p>
    <w:p>
      <w:pPr>
        <w:bidi w:val="1"/>
        <w:jc w:val="start"/>
      </w:pPr>
      <w:r>
        <w:rPr>
          <w:rtl w:val="1"/>
        </w:rPr>
        <w:t>الشرح: الدلالة: البيوت واتخاذ المساجد فيها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