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795 — الرقم الفرعي: 99 — الرقم الأصلي: 795 — ج: 1 — ص: 101</w:t>
        <w:br/>
      </w:r>
      <w:r>
        <w:rPr>
          <w:rtl w:val="1"/>
        </w:rPr>
        <w:t xml:space="preserve"> حدثنا عفّان حدثنا حمّاد عن عطاء بن السائب عن زاذان</w:t>
        <w:br/>
      </w:r>
      <w:r>
        <w:rPr>
          <w:color w:val="000000"/>
          <w:rtl w:val="1"/>
        </w:rPr>
        <w:t xml:space="preserve">أنَّ عليَّ بنَ أَبي طالبٍ شَرِبَ قائمًا،  </w:t>
      </w:r>
      <w:r>
        <w:rPr>
          <w:color w:val="000000"/>
          <w:rtl w:val="1"/>
        </w:rPr>
        <w:t xml:space="preserve">فنظر إليه الناسُ كأنَّهم أَنكَروه،  </w:t>
      </w:r>
      <w:r>
        <w:rPr>
          <w:color w:val="000000"/>
          <w:rtl w:val="1"/>
        </w:rPr>
        <w:t xml:space="preserve">فقال: ما تَنظُرون؟  </w:t>
      </w:r>
      <w:r>
        <w:rPr>
          <w:color w:val="FF0000"/>
          <w:rtl w:val="1"/>
        </w:rPr>
        <w:t xml:space="preserve">إنْ أَشربْ قائمًا، فقد رأيتُ النّبيَّ ﷺ يَشربُ قائمًا،  </w:t>
      </w:r>
      <w:r>
        <w:rPr>
          <w:color w:val="FF0000"/>
          <w:rtl w:val="1"/>
        </w:rPr>
        <w:t xml:space="preserve">وإنْ أَشربْ قاعدًا، فقد رأيتُ النّبيَّ ﷺ يشربُ قاعدًا.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 xml:space="preserve">الشرح: الدلالة: في شربه ﷺ قائمًا وقاعدًا - آدابه ﷺ في طعامه وشرابه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