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المعجم الكبير — رقم الحديث: 11553 — الرقم الفرعي: 99 — الرقم الأصلي: 11553 — ج: 11 — ص: 221</w:t>
        <w:br/>
      </w:r>
      <w:r>
        <w:rPr>
          <w:rtl w:val="1"/>
        </w:rPr>
        <w:t xml:space="preserve">  حدثنا علي بن عبد العزيز، حدثنا سعيد بن منصور، حدثنا عبد العزيز بن محمد، عن ثور بن زيد، عن عكرمة، عن ابن عباس، قال: قال رسول الله ﷺ:</w:t>
        <w:br/>
      </w:r>
      <w:r>
        <w:rPr>
          <w:color w:val="FF0000"/>
          <w:rtl w:val="1"/>
        </w:rPr>
        <w:t xml:space="preserve">«مَن غشَّنا فلَيسَ مِنّا،  </w:t>
      </w:r>
      <w:r>
        <w:rPr>
          <w:color w:val="000000"/>
          <w:rtl w:val="1"/>
        </w:rPr>
        <w:t xml:space="preserve">ومَن رَمانا بالنَّبْلِ فلَيسَ مِنّا».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عدم الغش والتغرير - الأخلاق والقيم التجارية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