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4337 — الرقم الفرعي: 99 — الرقم الأصلي: 4337</w:t>
        <w:br/>
      </w:r>
      <w:r>
        <w:rPr>
          <w:rtl w:val="1"/>
        </w:rPr>
        <w:t xml:space="preserve"> حدثنا محمد بن بشار حدثنا معاذ بن معاذ حدثنا ابن عون عن هشام بن زيد بن أنس بن مالك عن أنس بن مالك،رضي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كانَ يومَ حُنَينٍ، أقبَلَت هَوازِنُ وغَطَفانُ وغَيرُهم بنَعَمِهم وذَراريِّهِم،  </w:t>
      </w:r>
      <w:r>
        <w:rPr>
          <w:color w:val="FF0000"/>
          <w:rtl w:val="1"/>
        </w:rPr>
        <w:t xml:space="preserve">ومَعَ النبيِّ ﷺ عَشَرةُ آلافٍ، ومِن الطُّلَقاءِ، فأدبَروا عنه حتَّى بَقِيَ وحدَه،  </w:t>
      </w:r>
      <w:r>
        <w:rPr>
          <w:color w:val="FF0000"/>
          <w:rtl w:val="1"/>
        </w:rPr>
        <w:t xml:space="preserve">فنادَى يومَئذٍ نِداءَينِ لم يَخْلِطْ بينَهما،  </w:t>
      </w:r>
      <w:r>
        <w:rPr>
          <w:color w:val="FF0000"/>
          <w:rtl w:val="1"/>
        </w:rPr>
        <w:t xml:space="preserve">التَفَتَ عن يمينِه فقال: «يا مَعْشَرَ الأنصار»، قالوا: لَبَّيكَ يا رسول الله، أبشِرْ نحنُ مَعَكَ.  </w:t>
      </w:r>
      <w:r>
        <w:rPr>
          <w:color w:val="FF0000"/>
          <w:rtl w:val="1"/>
        </w:rPr>
        <w:t xml:space="preserve">ثمَّ التَفَتَ عن يَساره، فقال: «يا مَعْشَرَ الأنصار» قالوا: لَبَّيكَ يا رسول الله، أبشِرْ نحنُ مَعَكَ،  </w:t>
      </w:r>
      <w:r>
        <w:rPr>
          <w:color w:val="FF0000"/>
          <w:rtl w:val="1"/>
        </w:rPr>
        <w:t xml:space="preserve">وهو على بَغْلةٍ بَيضاءَ،  </w:t>
      </w:r>
      <w:r>
        <w:rPr>
          <w:color w:val="FF0000"/>
          <w:rtl w:val="1"/>
        </w:rPr>
        <w:t xml:space="preserve">فنَزَلَ فقال: «أنا عبد الله ورسولُه»  </w:t>
      </w:r>
      <w:r>
        <w:rPr>
          <w:color w:val="FF0000"/>
          <w:rtl w:val="1"/>
        </w:rPr>
        <w:t xml:space="preserve">فانهَزَمَ المشركونَ،  </w:t>
      </w:r>
      <w:r>
        <w:rPr>
          <w:color w:val="FF0000"/>
          <w:rtl w:val="1"/>
        </w:rPr>
        <w:t xml:space="preserve">فأصاب يومَئذٍ غَنائمَ كَثيرةً، فقَسَمَ في المهاجِرِينَ والطُّلَقاءِ، ولم يُعْطِ الأنصارَ شيئًا،  </w:t>
      </w:r>
      <w:r>
        <w:rPr>
          <w:color w:val="FF0000"/>
          <w:rtl w:val="1"/>
        </w:rPr>
        <w:t xml:space="preserve">فقالتِ الأنصارُ: إذا كانت شديدةٌ فنحنُ نُدْعَى، ويُعْطَى الغَنِيمةَ غَيرُنا،  </w:t>
      </w:r>
      <w:r>
        <w:rPr>
          <w:color w:val="FF0000"/>
          <w:rtl w:val="1"/>
        </w:rPr>
        <w:t xml:space="preserve">فبَلَغَه ذلكَ، فجَمَعَهم في قُبّةٍ، فقال: «يا مَعْشَرَ الأنصار، ما حديثٌ بَلَغَني عنكُم؟» فسَكَتُوا،  </w:t>
      </w:r>
      <w:r>
        <w:rPr>
          <w:color w:val="FF0000"/>
          <w:rtl w:val="1"/>
        </w:rPr>
        <w:t xml:space="preserve">فقال: «يا مَعْشَرَ الأنصار ألا تَرْضَوْنَ أنْ يَذهَبَ النّاسُ بالدُّنْيا، وتَذْهَبونَ برسول الله ﷺ تَحُوزُونَه إلى بيوتِكُم؟» قالوا: بَلَى،  </w:t>
      </w:r>
      <w:r>
        <w:rPr>
          <w:color w:val="FF0000"/>
          <w:rtl w:val="1"/>
        </w:rPr>
        <w:t xml:space="preserve">فقال النبيُّ ﷺ: «لو سَلَكَ النّاسُ وادِيًا، وسَلَكَتِ الأنصارُ شِعْبًا، لأخَذْتُ شِعْبَ الأنصار». </w:t>
      </w:r>
      <w:r>
        <w:rPr>
          <w:color w:val="000000"/>
          <w:rtl w:val="1"/>
        </w:rPr>
        <w:t xml:space="preserve">فقال هشام: يا أبا حمزة، وأنت شاهدٌ ذاك، قال: وأين أغيبُ عنه. 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شروط نجاح الإشاعة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أسد وغطفان وبني عامر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إتجاهات الرأي العام الموافق (المؤيد)</w:t>
      </w:r>
    </w:p>
    <w:p>
      <w:pPr>
        <w:bidi w:val="1"/>
        <w:jc w:val="start"/>
      </w:pPr>
      <w:r>
        <w:rPr>
          <w:rtl w:val="1"/>
        </w:rPr>
        <w:t>الشرح: الدلالة: إتجاهات الرأي العام المخالف (المعارض)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أهمية موضوع الإشاعة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الحريات العامة - رعاية الدولة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الرأي العام السياسي</w:t>
      </w:r>
    </w:p>
    <w:p>
      <w:pPr>
        <w:bidi w:val="1"/>
        <w:jc w:val="start"/>
      </w:pPr>
      <w:r>
        <w:rPr>
          <w:rtl w:val="1"/>
        </w:rPr>
        <w:t>الشرح: الدلالة: الرأي العام المحلي (الوطني.الإقليمي)</w:t>
      </w:r>
    </w:p>
    <w:p>
      <w:pPr>
        <w:bidi w:val="1"/>
        <w:jc w:val="start"/>
      </w:pPr>
      <w:r>
        <w:rPr>
          <w:rtl w:val="1"/>
        </w:rPr>
        <w:t>الشرح: الدلالة: الرأي العام الظاهر (الواضح)</w:t>
      </w:r>
    </w:p>
    <w:p>
      <w:pPr>
        <w:bidi w:val="1"/>
        <w:jc w:val="start"/>
      </w:pPr>
      <w:r>
        <w:rPr>
          <w:rtl w:val="1"/>
        </w:rPr>
        <w:t>الشرح: الدلالة: الرأي العام المثقف (الخاصة)</w:t>
      </w:r>
    </w:p>
    <w:p>
      <w:pPr>
        <w:bidi w:val="1"/>
        <w:jc w:val="start"/>
      </w:pPr>
      <w:r>
        <w:rPr>
          <w:rtl w:val="1"/>
        </w:rPr>
        <w:t>الشرح: الدلالة: الرأي العام المنساق(العامة)</w:t>
      </w:r>
    </w:p>
    <w:p>
      <w:pPr>
        <w:bidi w:val="1"/>
        <w:jc w:val="start"/>
      </w:pPr>
      <w:r>
        <w:rPr>
          <w:rtl w:val="1"/>
        </w:rPr>
        <w:t>الشرح: الدلالة: الرأي العام المتغير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الشورى مُلزمة - نتيجة الشورى</w:t>
      </w:r>
    </w:p>
    <w:p>
      <w:pPr>
        <w:bidi w:val="1"/>
        <w:jc w:val="start"/>
      </w:pPr>
      <w:r>
        <w:rPr>
          <w:rtl w:val="1"/>
        </w:rPr>
        <w:t>الشرح: الدلالة: قيمة الصدق في البيعة والعهد - قيم الصدق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قيمة مسؤولية إدارة الكوارث والأزمات - قيم المسؤولية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