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حديث أبي هريرة،والاختلاف على قتادة-كتاب الزينة-سنن النسائي — رقم الحديث: 5190 — الرقم الفرعي: 99 — الرقم الأصلي: 5190</w:t>
        <w:br/>
      </w:r>
      <w:r>
        <w:rPr>
          <w:rtl w:val="1"/>
        </w:rPr>
        <w:t xml:space="preserve"> أخبرنا عمرو بن منصور قال:حدثنا عفّان قال:حدثنا وهيب عن النّعمان بن راشد عن الزهريّ عن عطاء بن يزيد عن أبي ثعلبة الخشنيّ</w:t>
        <w:br/>
      </w:r>
      <w:r>
        <w:rPr>
          <w:color w:val="FF0000"/>
          <w:rtl w:val="1"/>
        </w:rPr>
        <w:t xml:space="preserve">أن النّبيَّ ﷺ أبصَرَ في يدِه خاتَمًا من ذَهَب، فجعل يَقرَعُه بقَضِيبٍ معَه،  </w:t>
      </w:r>
      <w:r>
        <w:rPr>
          <w:color w:val="FF0000"/>
          <w:rtl w:val="1"/>
        </w:rPr>
        <w:t xml:space="preserve">فلمّا غَفَل النّبيُّ ﷺ ألقاه،  </w:t>
      </w:r>
      <w:r>
        <w:rPr>
          <w:color w:val="FF0000"/>
          <w:rtl w:val="1"/>
        </w:rPr>
        <w:t xml:space="preserve">قال: «ما أُرانا إلا قد أَوجَعْناكَ وأَغْرَمْناكَ».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