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1997 — الرقم الفرعي: 1 — الرقم الأصلي: 1997</w:t>
        <w:br/>
      </w:r>
      <w:r>
        <w:rPr>
          <w:rtl w:val="1"/>
        </w:rPr>
        <w:t xml:space="preserve"> وحدثنا أبو بكر بن أبي شيبة و سُرَيج بن يونس ملاحظة واللفظ لأبي بكر قالا:حدثنا مروان بن معاوية عن منصور بن حَيّان عن سعيد بن جُبَيْر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أَشهدُ على ابنِ عُمرَ وابنِ عبّاس، أنّهما شَهِدا  </w:t>
      </w:r>
      <w:r>
        <w:rPr>
          <w:color w:val="FF0000"/>
          <w:rtl w:val="1"/>
        </w:rPr>
        <w:t xml:space="preserve">أَنّ رسولَ الله ﷺ نَهى عن الدُّبّاءِ والحَنْتَم والمُزفَّتِ والنَّقِير.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