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من أتى فراشه وهو ينوي القيام فنام-كتاب قيام الليل وتطوّع النهار-سنن النسائي — رقم الحديث: 1787 — الرقم الفرعي: 99 — الرقم الأصلي: 1787</w:t>
        <w:br/>
      </w:r>
      <w:r>
        <w:rPr>
          <w:rtl w:val="1"/>
        </w:rPr>
        <w:t xml:space="preserve"> أخبرنا هارون بن عبد الله قال:حدثنا حسين بن عليّ عن زائدة عن سليمان عن حبيب بن أبي ثابت عن عبدة بن أبي لُبابة عن سُويد بن غَفَلة عن أبي الدّرداء يبلغ به النبيّ صلى الله عليه وسلم</w:t>
        <w:br/>
      </w:r>
      <w:r>
        <w:rPr>
          <w:color w:val="FF0000"/>
          <w:rtl w:val="1"/>
        </w:rPr>
        <w:t xml:space="preserve">قال: «مَنْ أتى فِراشَه وهو ينوي أن يقومَ يُصلِّي من اللَّيل فغلَبَتْه عينُه حتَّى أصبحَ، كُتِبَ له ما نوى، وكان نومه صدقةً عليه من ربِّه عز وجل». </w:t>
      </w:r>
    </w:p>
    <w:p>
      <w:pPr>
        <w:bidi w:val="1"/>
        <w:jc w:val="start"/>
      </w:pPr>
      <w:r>
        <w:rPr>
          <w:rtl w:val="1"/>
        </w:rPr>
        <w:t>درجة الحديث: حسن</w:t>
      </w:r>
    </w:p>
    <w:p>
      <w:pPr>
        <w:bidi w:val="1"/>
        <w:jc w:val="start"/>
      </w:pPr>
      <w:r>
        <w:rPr>
          <w:rtl w:val="1"/>
        </w:rPr>
        <w:t>الشرح: الدلالة: أقسام الحكم التكليفي</w:t>
      </w:r>
    </w:p>
    <w:p>
      <w:pPr>
        <w:bidi w:val="1"/>
        <w:jc w:val="start"/>
      </w:pPr>
      <w:r>
        <w:rPr>
          <w:rtl w:val="1"/>
        </w:rPr>
        <w:t>الشرح: الدلالة: مراتب الطاعات - الطاعات</w:t>
      </w:r>
    </w:p>
    <w:p>
      <w:pPr>
        <w:bidi w:val="1"/>
        <w:jc w:val="start"/>
      </w:pPr>
      <w:r>
        <w:rPr>
          <w:rtl w:val="1"/>
        </w:rPr>
        <w:t>الشرح: الدلالة: الإخلاص والتوكل - مظاهر توحيد الألوهية</w:t>
      </w:r>
    </w:p>
    <w:p>
      <w:pPr>
        <w:bidi w:val="1"/>
        <w:jc w:val="start"/>
      </w:pPr>
      <w:r>
        <w:rPr>
          <w:rtl w:val="1"/>
        </w:rPr>
        <w:t>الشرح: الدلالة: الأجر على النية الحسنة - الحسنات</w:t>
      </w:r>
    </w:p>
    <w:p>
      <w:pPr>
        <w:bidi w:val="1"/>
        <w:jc w:val="start"/>
      </w:pPr>
      <w:r>
        <w:rPr>
          <w:rtl w:val="1"/>
        </w:rPr>
        <w:t>الشرح: الدلالة: الإخلاص - مبادىء التعلم وشروطه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