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البيع والشراء مع النساء-كتاب البيوع-صحيح البخاري — رقم الحديث: 2156 — الرقم الفرعي: 99 — الرقم الأصلي: 2156</w:t>
        <w:br/>
      </w:r>
      <w:r>
        <w:rPr>
          <w:rtl w:val="1"/>
        </w:rPr>
        <w:t xml:space="preserve"> حدثنا حسّان بن أبي عبّاد حدثنا همّام قال:سمعت نافعاً يحدث عن عبد الله بن عمر رضي الله عنهما</w:t>
        <w:br/>
      </w:r>
      <w:r>
        <w:rPr>
          <w:color w:val="000000"/>
          <w:rtl w:val="1"/>
        </w:rPr>
        <w:t xml:space="preserve">أنَّ عائشةَ، رضي الله عنها، ساوَمَتْ بَرِيرةَ، فخَرَجَ إلى الصلاةِ،  </w:t>
      </w:r>
      <w:r>
        <w:rPr>
          <w:color w:val="FF0000"/>
          <w:rtl w:val="1"/>
        </w:rPr>
        <w:t xml:space="preserve">فلمّا جاءَ قالت: إنَّهم أبَوْا أنْ يبيعُوها إلَّا أنْ يَشْتَرِطُوا الولاءَ،  </w:t>
      </w:r>
      <w:r>
        <w:rPr>
          <w:color w:val="FF0000"/>
          <w:rtl w:val="1"/>
        </w:rPr>
        <w:t xml:space="preserve">فقال النّبيُّ ﷺ: «إنَّما الولاءُ لِمَن أعتَقَ». </w:t>
      </w:r>
      <w:r>
        <w:rPr>
          <w:color w:val="000000"/>
          <w:rtl w:val="1"/>
        </w:rPr>
        <w:t xml:space="preserve">قلتُ لِنافعٍ: حُرًّا كانَ زوجُها أو عَبْدًا؟ فقال: ما يُدرِيني. </w:t>
      </w:r>
    </w:p>
    <w:p>
      <w:pPr>
        <w:bidi w:val="1"/>
        <w:jc w:val="start"/>
      </w:pPr>
      <w:r>
        <w:rPr>
          <w:rtl w:val="1"/>
        </w:rPr>
        <w:t>الشرح: الدلالة: الولاء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الشروط في الإعتاق والمكاتبة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