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ردّ عن مسلم غيبة-كتاب الأدب-سنن أبي داود — رقم الحديث: 4883 — الرقم الفرعي: 99 — الرقم الأصلي: 4883</w:t>
        <w:br/>
      </w:r>
      <w:r>
        <w:rPr>
          <w:rtl w:val="1"/>
        </w:rPr>
        <w:t xml:space="preserve"> حدثنا عبد الله بن محمد بن أسماء بن عبيد ثنا ابن المبارك عن يحيى بن أيوب عن عبد الله بن سليمان عن إسماعيل بن يحيى المعافريّ عن سهل بن معاذ بن أنس الجهنيّ عن أبيه عن النبيّ صلى الله عليه وسلم</w:t>
        <w:br/>
      </w:r>
      <w:r>
        <w:rPr>
          <w:color w:val="000000"/>
          <w:rtl w:val="1"/>
        </w:rPr>
        <w:t xml:space="preserve">قال:  </w:t>
      </w:r>
      <w:r>
        <w:rPr>
          <w:color w:val="FF0000"/>
          <w:rtl w:val="1"/>
        </w:rPr>
        <w:t xml:space="preserve">«مَن حمَى مُؤمنًا من مُنافقٍ - أُراه قال: - بَعثَ اللهُ ملَكًا يَحمي لَحمَهُ يومَ القِيامةِ من نارِ جهنَّم،  </w:t>
      </w:r>
      <w:r>
        <w:rPr>
          <w:color w:val="FF0000"/>
          <w:rtl w:val="1"/>
        </w:rPr>
        <w:t xml:space="preserve">ومَن رمَى مُسلِمًا بشيءٍ يُريدُ شَينَه به، حبَسَه اللهُ على جِسرِ جهنَّم حتى يَخرُج ممّا قال».  </w:t>
      </w:r>
    </w:p>
    <w:p>
      <w:pPr>
        <w:bidi w:val="1"/>
        <w:jc w:val="start"/>
      </w:pPr>
      <w:r>
        <w:rPr>
          <w:rtl w:val="1"/>
        </w:rPr>
        <w:t xml:space="preserve">درجة الحديث: إسناده ضعيف  / إسناده ضعيف </w:t>
      </w:r>
    </w:p>
    <w:p>
      <w:pPr>
        <w:bidi w:val="1"/>
        <w:jc w:val="start"/>
      </w:pPr>
      <w:r>
        <w:rPr>
          <w:rtl w:val="1"/>
        </w:rPr>
        <w:t>الشرح: الدلالة: النفاق والمنافقون</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حفظ اللسان - القيم والأخلاق المحمودة</w:t>
      </w:r>
    </w:p>
    <w:p>
      <w:pPr>
        <w:bidi w:val="1"/>
        <w:jc w:val="start"/>
      </w:pPr>
      <w:r>
        <w:rPr>
          <w:rtl w:val="1"/>
        </w:rPr>
        <w:t>الشرح: الدلالة: النميمة - القيم والأخلاق المذمومة</w:t>
      </w:r>
    </w:p>
    <w:p>
      <w:pPr>
        <w:bidi w:val="1"/>
        <w:jc w:val="start"/>
      </w:pPr>
      <w:r>
        <w:rPr>
          <w:rtl w:val="1"/>
        </w:rPr>
        <w:t>الشرح: الدلالة: الغيبة والبهتان - القيم والأخلاق المذمومة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منافق</w:t>
      </w:r>
    </w:p>
    <w:p>
      <w:pPr>
        <w:bidi w:val="1"/>
        <w:jc w:val="start"/>
      </w:pPr>
      <w:r>
        <w:rPr>
          <w:rtl w:val="1"/>
        </w:rPr>
        <w:t>الشرح: الدلالة: الرعاية الخلقية (يحال إلى القيم والأخلاق والآداب الاجتماعية) - الرعاية الشخصية (رعاية الفرد نفسه)</w:t>
      </w:r>
    </w:p>
    <w:p>
      <w:pPr>
        <w:bidi w:val="1"/>
        <w:jc w:val="start"/>
      </w:pPr>
      <w:r>
        <w:rPr>
          <w:rtl w:val="1"/>
        </w:rPr>
        <w:t>الشرح: الدلالة: عقوبات على الصراط - ثالث عشر: الصراط</w:t>
      </w:r>
    </w:p>
    <w:p>
      <w:pPr>
        <w:bidi w:val="1"/>
        <w:jc w:val="start"/>
      </w:pPr>
      <w:r>
        <w:rPr>
          <w:rtl w:val="1"/>
        </w:rPr>
        <w:t>الشرح: الدلالة: الأخلاقية (يحال إلى التربية)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 نصرة المستضعفين من المسلمين - الأخلاق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