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ابن ماجة — باب ما جاء في الصلاة على النجاشيّ-كتاب الجنائز-سنن ابن ماجة — رقم الحديث: 1536 — الرقم الفرعي: 99 — الرقم الأصلي: 1536</w:t>
        <w:br/>
      </w:r>
      <w:r>
        <w:rPr>
          <w:rtl w:val="1"/>
        </w:rPr>
        <w:t xml:space="preserve"> حدثنا أبو بكر بن أبي شيبة ثنا معاوية بن هشام ثنا سفيان عن حِمران بن أعيَن عن أبي الطّفيل عن مُجمَّع بن جارية الأنصاريّ أنّ رسول الله صلى الله عليه وسلم</w:t>
        <w:br/>
      </w:r>
      <w:r>
        <w:rPr>
          <w:color w:val="FF0000"/>
          <w:rtl w:val="1"/>
        </w:rPr>
        <w:t xml:space="preserve">«إنَّ أَخَاكُم النَّجاشِيَّ قَد مَات، فقُومُوا فصَلُّوا عليه».  </w:t>
      </w:r>
      <w:r>
        <w:rPr>
          <w:color w:val="000000"/>
          <w:rtl w:val="1"/>
        </w:rPr>
        <w:t xml:space="preserve">فصَفَّنَا خَلفَه صَفَّين. </w:t>
      </w:r>
    </w:p>
    <w:p>
      <w:pPr>
        <w:bidi w:val="1"/>
        <w:jc w:val="start"/>
      </w:pPr>
      <w:r>
        <w:rPr>
          <w:rtl w:val="1"/>
        </w:rPr>
        <w:t>درجة الحديث: صحيح لغيره / صحيح لغيره</w:t>
      </w:r>
    </w:p>
    <w:p>
      <w:pPr>
        <w:bidi w:val="1"/>
        <w:jc w:val="start"/>
      </w:pPr>
      <w:r>
        <w:rPr>
          <w:rtl w:val="1"/>
        </w:rPr>
        <w:t>الشرح: الدلالة: النصرة والأخوة - أساليب التكافل الاجتماعي ومؤسساته</w:t>
      </w:r>
    </w:p>
    <w:p>
      <w:pPr>
        <w:bidi w:val="1"/>
        <w:jc w:val="start"/>
      </w:pPr>
      <w:r>
        <w:rPr>
          <w:rtl w:val="1"/>
        </w:rPr>
        <w:t>الشرح: الدلالة: الأخوة والمحبة والألفة - القيم والأخلاق المحمودة</w:t>
      </w:r>
    </w:p>
    <w:p>
      <w:pPr>
        <w:bidi w:val="1"/>
        <w:jc w:val="start"/>
      </w:pPr>
      <w:r>
        <w:rPr>
          <w:rtl w:val="1"/>
        </w:rPr>
        <w:t>الشرح: الدلالة: آداب الأخوة والألفة والمحبة - الآداب الاجتماعية</w:t>
      </w:r>
    </w:p>
    <w:p>
      <w:pPr>
        <w:bidi w:val="1"/>
        <w:jc w:val="start"/>
      </w:pPr>
      <w:r>
        <w:rPr>
          <w:rtl w:val="1"/>
        </w:rPr>
        <w:t>الشرح: الدلالة: الصحيح</w:t>
      </w:r>
    </w:p>
    <w:p>
      <w:pPr>
        <w:bidi w:val="1"/>
        <w:jc w:val="start"/>
      </w:pPr>
      <w:r>
        <w:rPr>
          <w:rtl w:val="1"/>
        </w:rPr>
        <w:t>الشرح: الدلالة: الصلاة على الغائب - مشروعية صلاة الجنازة</w:t>
      </w:r>
    </w:p>
    <w:p>
      <w:pPr>
        <w:bidi w:val="1"/>
        <w:jc w:val="start"/>
      </w:pPr>
      <w:r>
        <w:rPr>
          <w:rtl w:val="1"/>
        </w:rPr>
        <w:t>الشرح: الدلالة: التعليم بالعمل والممارسة - الأساليب التعليمية</w:t>
      </w:r>
    </w:p>
    <w:p>
      <w:pPr>
        <w:bidi w:val="1"/>
        <w:jc w:val="start"/>
      </w:pPr>
      <w:r>
        <w:rPr>
          <w:rtl w:val="1"/>
        </w:rPr>
        <w:t>الشرح: الدلالة: الوحي - طرق المعرفة</w:t>
      </w:r>
    </w:p>
    <w:p>
      <w:pPr>
        <w:bidi w:val="1"/>
        <w:jc w:val="start"/>
      </w:pPr>
      <w:r>
        <w:rPr>
          <w:rtl w:val="1"/>
        </w:rPr>
        <w:t xml:space="preserve">الشرح: الدلالة: وجوب الصلاة على الميت - صلاة الجنازة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