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 — الرقم الفرعي: 99 — الرقم الأصلي: 145 — ج: 1 — ص: 22</w:t>
        <w:br/>
      </w:r>
      <w:r>
        <w:rPr>
          <w:rtl w:val="1"/>
        </w:rPr>
        <w:t xml:space="preserve"> حدثنا أبو سعيد و حسين بن محمد قالا:حدثنا إسرائيل عن أبي إسحاق عن عمرو بن ميمون عن عمر أن النبي صلى الله عليه وسلم</w:t>
        <w:br/>
      </w:r>
      <w:r>
        <w:rPr>
          <w:color w:val="000000"/>
          <w:rtl w:val="1"/>
        </w:rPr>
        <w:t xml:space="preserve">كَانَ يَتعَوَّذُ مِنْ خَمْسٍ: مِنَ الْبُخْلِ، وَالْجُبْنِ، وَفِتنَةِ الصَّدْرِ، وَعَذابِ الْقَبْرِ، وَسُوءِ الْعُمْرِ.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