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خروج النبيّ صلى الله عليه وسلم،إلى العيد-أبواب الصلاة-سنن الترمذي — رقم الحديث: 541 — الرقم الفرعي: 99 — الرقم الأصلي: 541</w:t>
        <w:br/>
      </w:r>
      <w:r>
        <w:rPr>
          <w:rtl w:val="1"/>
        </w:rPr>
        <w:t xml:space="preserve"> حدثنا عبد الأعلى بن واصل بن عبد الأعلى الكوفيّ و أبو زُرعة قالا:حدثنا محمد بن الصلت عن فُلَيح بن سليمان عن سعيد بن الحارث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إذا خرَجَ يومَ العِيدِ في طريقٍ رَجَعَ في غَيرِه. </w:t>
      </w:r>
      <w:r>
        <w:rPr>
          <w:color w:val="000000"/>
          <w:rtl w:val="1"/>
        </w:rPr>
        <w:t xml:space="preserve">وفي الباب عن عبدِ الله بن عُمر، وأَبي رافِع. </w:t>
      </w:r>
      <w:r>
        <w:rPr>
          <w:color w:val="000000"/>
          <w:rtl w:val="1"/>
        </w:rPr>
        <w:t xml:space="preserve">حديثُ أَبي هُريرةَ حديثٌ حسنٌ غريب. </w:t>
      </w:r>
      <w:r>
        <w:rPr>
          <w:color w:val="000000"/>
          <w:rtl w:val="1"/>
        </w:rPr>
        <w:t xml:space="preserve">ورَوى أَبو تُميلةَ، ويُونُس بنُ محمدٍ هذا الحديثَ، عن فُلَيح بنِ سُليمان، عن سَعيدِ بن الحارثِ، عن جابرِ بنِ عبدِ الله. </w:t>
      </w:r>
      <w:r>
        <w:rPr>
          <w:color w:val="000000"/>
          <w:rtl w:val="1"/>
        </w:rPr>
        <w:t xml:space="preserve">وقد استَحبَّ بعضُ أَهلِ العِلمِ للإمامِ إذا خَرَجَ في طريقٍ أن يَرجِع في غَيرِه، اتّباعًا لهذا الحديث. وهو قولُ الشَّافعي. </w:t>
      </w:r>
      <w:r>
        <w:rPr>
          <w:color w:val="000000"/>
          <w:rtl w:val="1"/>
        </w:rPr>
        <w:t xml:space="preserve">وحديثُ جابرٍ كأنه أَصحّ.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المشي إلى مصلى العيد وتغيير الطريق - من مظاهر يوم العيد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