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قول الله تعالىوهو الذي يبدأ الخلق ثم يعيده-كتاب بدء الخلق-صحيح البخاري — رقم الحديث: 3191 — الرقم الفرعي: 99 — الرقم الأصلي: 3191</w:t>
        <w:br/>
      </w:r>
      <w:r>
        <w:rPr>
          <w:rtl w:val="1"/>
        </w:rPr>
        <w:t xml:space="preserve"> حدثنا عمر بن حفص بن غياث حدثنا أبي حدثنا الأعمش حدثنا جامع بن شدّاد عن صفوان بن مُحْرِز أنه حدثه عن عمران بن حصين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دَخَلْتُ على النّبيِّ ﷺ وعَقَلْتُ ناقَتي بالباب،  </w:t>
      </w:r>
      <w:r>
        <w:rPr>
          <w:color w:val="FF0000"/>
          <w:rtl w:val="1"/>
        </w:rPr>
        <w:t xml:space="preserve">فأتاه ناسٌ من بني تَمِيمٍ، فقال: «اقبَلُوا البُشْرَى يا بني تَمِيمٍ» قالوا: قد بَشَّرْتَنا فأعطِنا - مرَّتينِ -  </w:t>
      </w:r>
      <w:r>
        <w:rPr>
          <w:color w:val="FF0000"/>
          <w:rtl w:val="1"/>
        </w:rPr>
        <w:t xml:space="preserve">ثمَّ دَخَلَ عليه ناسٌ من أهلِ اليَمَنِ، فقال: «اقبَلُوا البُشْرَى يا أهلَ اليَمَنِ إذْ لم يَقبَلْها بَنُو تَمِيمٍ». قالوا: قد قَبِلْنا يا رسولَ الله.  </w:t>
      </w:r>
      <w:r>
        <w:rPr>
          <w:color w:val="FF0000"/>
          <w:rtl w:val="1"/>
        </w:rPr>
        <w:t xml:space="preserve">قالوا: جئناكَ نَسْألُكَ عن هذا الأمرِ.  </w:t>
      </w:r>
      <w:r>
        <w:rPr>
          <w:color w:val="FF0000"/>
          <w:rtl w:val="1"/>
        </w:rPr>
        <w:t xml:space="preserve">قال: «كان اللهُ ولم يَكُنْ شيءٌ غيرُه،  </w:t>
      </w:r>
      <w:r>
        <w:rPr>
          <w:color w:val="FF0000"/>
          <w:rtl w:val="1"/>
        </w:rPr>
        <w:t xml:space="preserve">وكان عَرْشُه على الماءِ،  </w:t>
      </w:r>
      <w:r>
        <w:rPr>
          <w:color w:val="FF0000"/>
          <w:rtl w:val="1"/>
        </w:rPr>
        <w:t xml:space="preserve">وكَتَبَ في الذِّكْرِ كلَّ شيءٍ،  </w:t>
      </w:r>
      <w:r>
        <w:rPr>
          <w:color w:val="FF0000"/>
          <w:rtl w:val="1"/>
        </w:rPr>
        <w:t xml:space="preserve">وخَلَقَ السَّماواتِ والأرضَ».  </w:t>
      </w:r>
      <w:r>
        <w:rPr>
          <w:color w:val="FF0000"/>
          <w:rtl w:val="1"/>
        </w:rPr>
        <w:t xml:space="preserve">فنادَى مُنادٍ: ذهبَتْ ناقَتُكَ يا ابنَ الحُصَينِ. فانطَلَقْتُ فإذا هي يَقْطَعُ دونَها السَّرابُ، فوالله لَوَدِدْتُ أنّي كنتُ تَرَكْتُها. </w:t>
      </w:r>
    </w:p>
    <w:p>
      <w:pPr>
        <w:bidi w:val="1"/>
        <w:jc w:val="start"/>
      </w:pPr>
      <w:r>
        <w:rPr>
          <w:rtl w:val="1"/>
        </w:rPr>
        <w:t>الشرح: الدلالة: رفقه وحلمه ﷺ في الدعوة إلى الله - تواضع النبي ﷺ ورفقه وحلمه</w:t>
      </w:r>
    </w:p>
    <w:p>
      <w:pPr>
        <w:bidi w:val="1"/>
        <w:jc w:val="start"/>
      </w:pPr>
      <w:r>
        <w:rPr>
          <w:rtl w:val="1"/>
        </w:rPr>
        <w:t>الشرح: الدلالة: وفد بني تميم - الوفود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الوجدانية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