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أبي موسى ومعاذ إلى اليمن-كتاب المغازي-صحيح البخاري — رقم الحديث: 4341 — الرقم الفرعي: 99 — الرقم الأصلي: 4341</w:t>
        <w:br/>
      </w:r>
      <w:r>
        <w:rPr>
          <w:rtl w:val="1"/>
        </w:rPr>
        <w:t xml:space="preserve"> حدثنا موسى حدثنا أبو عَوانة حدثنا عبد الملك عن أبي بُردة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رسولُ الله ﷺ أبا موسى ومعاذَ بنَ جبلٍ إلى اليَمَنِ،  </w:t>
      </w:r>
      <w:r>
        <w:rPr>
          <w:color w:val="FF0000"/>
          <w:rtl w:val="1"/>
        </w:rPr>
        <w:t xml:space="preserve">قال: وبَعَثَ كلَّ واحدٍ منهما على مِخْلافٍ، قال: واليَمَنُ مِخْلافان،  </w:t>
      </w:r>
      <w:r>
        <w:rPr>
          <w:color w:val="FF0000"/>
          <w:rtl w:val="1"/>
        </w:rPr>
        <w:t xml:space="preserve">ثمَّ قال: «يَسِّرا ولا تُعَسِّرا، وبَشِّرا ولا تُنَفِّرا»  </w:t>
      </w:r>
      <w:r>
        <w:rPr>
          <w:color w:val="FF0000"/>
          <w:rtl w:val="1"/>
        </w:rPr>
        <w:t xml:space="preserve">فانطَلَقَ كلُّ واحدٍ منهما إلى عَمَلِه،  </w:t>
      </w:r>
      <w:r>
        <w:rPr>
          <w:color w:val="FF0000"/>
          <w:rtl w:val="1"/>
        </w:rPr>
        <w:t xml:space="preserve">وكان كلُّ واحدٍ منهما إذا سارَ في أرضِه، كان قريبًا من صاحبِه، أحدَثَ به عَهْدًا، فسَلَّمَ عليه،  </w:t>
      </w:r>
      <w:r>
        <w:rPr>
          <w:color w:val="FF0000"/>
          <w:rtl w:val="1"/>
        </w:rPr>
        <w:t xml:space="preserve">فسارَ معاذ في أرضِه قريبًا من صاحبِه أبي موسى، فجاء يَسِيرُ على بَغْلَتِه حتَّى انتَهَى إليه،  </w:t>
      </w:r>
      <w:r>
        <w:rPr>
          <w:color w:val="FF0000"/>
          <w:rtl w:val="1"/>
        </w:rPr>
        <w:t xml:space="preserve">فإذا هو جالسٌ وقدِ اجتَمَعَ إليه الناسُ، وإذا رجلٌ عندَه قد جُمِعَت يَداه إلى عُنُقِه، فقال له معاذٌ: يا عبد الله بنَ قيسٍ، أيُّمَ هذا؟ قال: هذا رجلٌ كفرَ بعدَ إسلامِه، قال: لا أنْزِلُ حتَّى يُقْتَلَ، قال: إنَّما جِيءَ به لذلك، فانزِلْ، قال: ما أنْزِلُ حتَّى يُقْتَلَ، فأمَرَ به فقُتِلَ، ثمَّ نزلَ  </w:t>
      </w:r>
      <w:r>
        <w:rPr>
          <w:color w:val="FF0000"/>
          <w:rtl w:val="1"/>
        </w:rPr>
        <w:t xml:space="preserve">فقال: يا عبد الله، كيفَ تَقْرَأُ القرآنَ؟ قال: أتفَوَّقُه تَفَوُّقًا،  </w:t>
      </w:r>
      <w:r>
        <w:rPr>
          <w:color w:val="FF0000"/>
          <w:rtl w:val="1"/>
        </w:rPr>
        <w:t xml:space="preserve">قال: فكيفَ تَقْرَأُ أنتَ يا معاذ؟ قال: أنامُ أوَّلَ اللَّيلِ، فأقومُ وقد قَضَيتُ جُزْئي مِن النَّومِ، فأقرَأُ ما كَتَبَ الله لي، فاحتَسَبْتُ نَوْمَتي كما احتَسَبْتُ قَومَتِي. </w:t>
      </w:r>
    </w:p>
    <w:p>
      <w:pPr>
        <w:bidi w:val="1"/>
        <w:jc w:val="start"/>
      </w:pPr>
      <w:r>
        <w:rPr>
          <w:rtl w:val="1"/>
        </w:rPr>
        <w:t>الشرح: الدلالة: قاعدة التيسير  والتبشير وعدم التنفير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