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111 — الرقم الفرعي: 99 — الرقم الأصلي: 111</w:t>
        <w:br/>
      </w:r>
      <w:r>
        <w:rPr>
          <w:rtl w:val="1"/>
        </w:rPr>
        <w:t xml:space="preserve"> حدثنا عليّ بن محمد ثنا عبد الله بن إدريس عن هشام بن حسّان عن محمد بن سيرين عن كعب بن عُجرة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ذَكرَ رسولُ الله ﷺ فِتنةً فقرَّبَها،  </w:t>
      </w:r>
      <w:r>
        <w:rPr>
          <w:color w:val="FF0000"/>
          <w:rtl w:val="1"/>
        </w:rPr>
        <w:t xml:space="preserve">فمَرَّ رجلٌ مقنِّعٌ رأسَه، فقالَ رسولُ الله ﷺ: «هذا يومَئذٍ على الهُدَى».  </w:t>
      </w:r>
      <w:r>
        <w:rPr>
          <w:color w:val="FF0000"/>
          <w:rtl w:val="1"/>
        </w:rPr>
        <w:t xml:space="preserve">فوَثبتُ، فأَخذتُ بِضَبْعَي عثمانَ، ثم استَقبلتُ رسولَ الله ﷺ، فقلتُ: هذا؟ قال: «هذا».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