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26482 — الرقم الفرعي: 99 — الرقم الأصلي: 26482 — ج: 6 — ص: 289</w:t>
        <w:br/>
      </w:r>
      <w:r>
        <w:rPr>
          <w:rtl w:val="1"/>
        </w:rPr>
        <w:t xml:space="preserve"> حدثنا عبد الله حدثني أبي ثنا ابن أبي عديّ عن ابن عون عن الحسن عن أمّه عن أمّ سلمة</w:t>
        <w:br/>
      </w:r>
      <w:r>
        <w:rPr>
          <w:color w:val="000000"/>
          <w:rtl w:val="1"/>
        </w:rPr>
        <w:t xml:space="preserve">قالت: ما نَسيتُ قولَه يومَ الخَندقِ وهو يُعاطِيهمُ اللَّبِن، وقد اغبَرَّ شَعرُ صَدرِه،  </w:t>
      </w:r>
      <w:r>
        <w:rPr>
          <w:color w:val="000000"/>
          <w:rtl w:val="1"/>
        </w:rPr>
        <w:t xml:space="preserve">يقول: «اللَّهمَّ إنَّ الخَيرَ خَيرُ الآخِرة، فاغفِر للأَنصارِ والمُهاجِرة»  </w:t>
      </w:r>
      <w:r>
        <w:rPr>
          <w:color w:val="FF0000"/>
          <w:rtl w:val="1"/>
        </w:rPr>
        <w:t xml:space="preserve">قال: فرَأَى عمَّارًا، فقال: «وَيحَهُ ابنُ سُميَّة، تَقتُلُه الفِئةُ الباغِية»  </w:t>
      </w:r>
      <w:r>
        <w:rPr>
          <w:color w:val="000000"/>
          <w:rtl w:val="1"/>
        </w:rPr>
        <w:t xml:space="preserve">قال: فذَكَرتُه لمُحمدٍ، يعني ابنَ سِيرينَ، فقال: عن أُمِّه؟ قلت: نعم.  </w:t>
      </w:r>
      <w:r>
        <w:rPr>
          <w:color w:val="000000"/>
          <w:rtl w:val="1"/>
        </w:rPr>
        <w:t xml:space="preserve">أمَا إنّها كانت تُخالِطُها، تَلِجُ عليها.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