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من أحقّ بالولد-تفريع أبواب الطلاق-سنن أبي داود — رقم الحديث: 2278 — الرقم الفرعي: 99 — الرقم الأصلي: 2278</w:t>
        <w:br/>
      </w:r>
      <w:r>
        <w:rPr>
          <w:rtl w:val="1"/>
        </w:rPr>
        <w:t xml:space="preserve"> حدثنا العباس بن عبد العظيم ثنا عبد الملك بن عمرو ثنا عبد العزيز بن محمد عن يزيد بن الهاد عن محمد بن إبراهيم عن نافع بن عجير عن أبيه عن عليّ رضي الله عنه</w:t>
        <w:br/>
      </w:r>
      <w:r>
        <w:rPr>
          <w:color w:val="000000"/>
          <w:rtl w:val="1"/>
        </w:rPr>
        <w:t xml:space="preserve">قال:  </w:t>
      </w:r>
      <w:r>
        <w:rPr>
          <w:color w:val="000000"/>
          <w:rtl w:val="1"/>
        </w:rPr>
        <w:t xml:space="preserve">خرجَ زيدُ بنُ حارثةَ إلى مكّةَ، فقَدِمَ بابنةِ حمزةَ،  </w:t>
      </w:r>
      <w:r>
        <w:rPr>
          <w:color w:val="000000"/>
          <w:rtl w:val="1"/>
        </w:rPr>
        <w:t xml:space="preserve">فقال جعفر: أَنا آخُذُها، أنا أَحقُّ بها، ابنةُ عمِّي، وعندي خالتُها، وإنَّما الخالةُ أُمٌّ،  </w:t>
      </w:r>
      <w:r>
        <w:rPr>
          <w:color w:val="000000"/>
          <w:rtl w:val="1"/>
        </w:rPr>
        <w:t xml:space="preserve">فقال عليٌّ: أنا أَحقُّ بها، ابنةُ عمِّي، وعندي ابنةُ رسولِ الله ﷺ، وهي أَحقُّ بها،  </w:t>
      </w:r>
      <w:r>
        <w:rPr>
          <w:color w:val="000000"/>
          <w:rtl w:val="1"/>
        </w:rPr>
        <w:t xml:space="preserve">فقال زيدٌ: أنا أَحقُّ بها، أنا خرجتُ إليها وسافرتُ، وقَدِمْتُ بها،  </w:t>
      </w:r>
      <w:r>
        <w:rPr>
          <w:color w:val="000000"/>
          <w:rtl w:val="1"/>
        </w:rPr>
        <w:t xml:space="preserve">فخرجَ النّبيُّ ﷺ فذَكر حديثًا،  </w:t>
      </w:r>
      <w:r>
        <w:rPr>
          <w:color w:val="FF0000"/>
          <w:rtl w:val="1"/>
        </w:rPr>
        <w:t xml:space="preserve">قال: «وأمّا الجاريهُ فأَقضِي بها لِجَعفر، تكونُ مع خالتِها، وإنَّما الخالةُ أُم». </w:t>
      </w:r>
    </w:p>
    <w:p>
      <w:pPr>
        <w:bidi w:val="1"/>
        <w:jc w:val="start"/>
      </w:pPr>
      <w:r>
        <w:rPr>
          <w:rtl w:val="1"/>
        </w:rPr>
        <w:t>درجة الحديث: صحيح</w:t>
      </w:r>
    </w:p>
    <w:p>
      <w:pPr>
        <w:bidi w:val="1"/>
        <w:jc w:val="start"/>
      </w:pPr>
      <w:r>
        <w:rPr>
          <w:rtl w:val="1"/>
        </w:rPr>
        <w:t>الشرح: الدلالة: رعاية الوالدين للأولاد - الرعاية الأسرية</w:t>
      </w:r>
    </w:p>
    <w:p>
      <w:pPr>
        <w:bidi w:val="1"/>
        <w:jc w:val="start"/>
      </w:pPr>
      <w:r>
        <w:rPr>
          <w:rtl w:val="1"/>
        </w:rPr>
        <w:t>الشرح: الدلالة: رعاية القرابة - الرعاية الأسرية</w:t>
      </w:r>
    </w:p>
    <w:p>
      <w:pPr>
        <w:bidi w:val="1"/>
        <w:jc w:val="start"/>
      </w:pPr>
      <w:r>
        <w:rPr>
          <w:rtl w:val="1"/>
        </w:rPr>
        <w:t>الشرح: الدلالة: رعاية الرحم وصلته - الرعاية الأسرية</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صاحب الحضانة - الحضانة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