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ما ينقض الوضوء وما لا ينقض الوضوء من المذي-كتاب الطهارة-سنن النسائي — رقم الحديث: 155 — الرقم الفرعي: 99 — الرقم الأصلي: 155</w:t>
        <w:br/>
      </w:r>
      <w:r>
        <w:rPr>
          <w:rtl w:val="1"/>
        </w:rPr>
        <w:t xml:space="preserve"> أخبرنا عثمان بن عبد الله قال:أنبأنا أميّة قال:حدثنا يزيد بن زريع أنّ رَوح بن القاسم حدثه عن ابن أبي نُجيح عن عطاء عن إياس بن خليفة عن رافع بن خديج</w:t>
        <w:br/>
      </w:r>
      <w:r>
        <w:rPr>
          <w:color w:val="FF0000"/>
          <w:rtl w:val="1"/>
        </w:rPr>
        <w:t xml:space="preserve">أنّ عليًّا، أمرَ عمّارًا أن يَسألَ رسولَ الله ﷺ عن المَذْي، فقال: «يَغسِلُ مَذاكِيرَه ويَتوضّأ». </w:t>
      </w:r>
    </w:p>
    <w:p>
      <w:pPr>
        <w:bidi w:val="1"/>
        <w:jc w:val="start"/>
      </w:pPr>
      <w:r>
        <w:rPr>
          <w:rtl w:val="1"/>
        </w:rPr>
        <w:t>درجة الحديث: منكر</w:t>
      </w:r>
    </w:p>
    <w:p>
      <w:pPr>
        <w:bidi w:val="1"/>
        <w:jc w:val="start"/>
      </w:pPr>
      <w:r>
        <w:rPr>
          <w:rtl w:val="1"/>
        </w:rPr>
        <w:t>الشرح: الدلالة: المذي والودي - أنواع النجاسات</w:t>
      </w:r>
    </w:p>
    <w:p>
      <w:pPr>
        <w:bidi w:val="1"/>
        <w:jc w:val="start"/>
      </w:pPr>
      <w:r>
        <w:rPr>
          <w:rtl w:val="1"/>
        </w:rPr>
        <w:t>الشرح: الدلالة: ما يخرج من أحد السبيلين(البول والغائط والريح والمني والمذي) - ما جاء في نقض الوضوء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