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المُحصَ وجزاء الصيد-كتاب الحجّ-صحيح البخاري — رقم الحديث: 1807 — الرقم الفرعي: 99 — الرقم الأصلي: 1807</w:t>
        <w:br/>
      </w:r>
      <w:r>
        <w:rPr>
          <w:rtl w:val="1"/>
        </w:rPr>
        <w:t xml:space="preserve"> حدثنا عبد الله بن محمد بن أسماء حدثنا جويرية عن نافع أنّ عبيدالله بن عبد الله و سالم بن عبد الله</w:t>
        <w:br/>
      </w:r>
      <w:r>
        <w:rPr>
          <w:color w:val="FF0000"/>
          <w:rtl w:val="1"/>
        </w:rPr>
        <w:t xml:space="preserve">أخبَراه: أنَّهما كَلَّما عبدَ الله بنَ عمرَ رضي الله عنهما لياليَ نَزَلَ الجيشُ بابنِ الزُّبَير، فقالا: لا يَضُرُّكَ أنْ لا تَحُجَّ العامَ، وإنّا نَخافُ أنْ يُحالَ بينَكَ وبينَ البيتِ، فقال:  </w:t>
      </w:r>
      <w:r>
        <w:rPr>
          <w:color w:val="FF0000"/>
          <w:rtl w:val="1"/>
        </w:rPr>
        <w:t xml:space="preserve">خَرَجْنا معَ رسولِ الله ﷺ، فحالَ كُفّارُ قُرَيشٍ دونَ البيتِ، فنَحَرَ النبيُّ ﷺ هَدْيَه، وحَلَقَ رأسَه،  </w:t>
      </w:r>
      <w:r>
        <w:rPr>
          <w:color w:val="FF0000"/>
          <w:rtl w:val="1"/>
        </w:rPr>
        <w:t xml:space="preserve">وأُشْهِدُكم أنّي قد أوجَبْتُ العُمْرةَ إنْ شاءَ اللهُ، أنْطَلِقُ، فإنْ خُلِّيَ بيني وبينَ البيتِ طُفْتُ، وإنْ حِيلَ بيني وبينَه فعلتُ كما فَعَلَ النبيُّ ﷺ وأنا معه.  </w:t>
      </w:r>
      <w:r>
        <w:rPr>
          <w:color w:val="000000"/>
          <w:rtl w:val="1"/>
        </w:rPr>
        <w:t xml:space="preserve">فأهَلَّ بالعُمْرةِ من ذي الحُلَيفةِ، ثمَّ سارَ ساعةً، ثمَّ قال: إنَّما شأنُهما واحدٌ، أُشْهِدُكم أنّي قد أوجَبْتُ حَجّةً مع عُمْرَتي، فلم يَحِلَّ منهما حتَّى حَلَّ يومَ النَّحْرِ وأهدَى، وكان يقولُ: لا يَحِلُّ حتَّى يَطُوفَ طَوافاً واحداً يومَ يَدخُلُ مكَّةَ.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الإحصار بعدوٍ - الإحصار والفوات</w:t>
      </w:r>
    </w:p>
    <w:p>
      <w:pPr>
        <w:bidi w:val="1"/>
        <w:jc w:val="start"/>
      </w:pPr>
      <w:r>
        <w:rPr>
          <w:rtl w:val="1"/>
        </w:rPr>
        <w:t>الشرح: الدلالة: تحلل المحصر - الإحصار والفوات</w:t>
      </w:r>
    </w:p>
    <w:p>
      <w:pPr>
        <w:bidi w:val="1"/>
        <w:jc w:val="start"/>
      </w:pPr>
      <w:r>
        <w:rPr>
          <w:rtl w:val="1"/>
        </w:rPr>
        <w:t>الشرح: الدلالة: فسخ الإحرام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الاشتراط عند الإحرام - النية والإحرام للحج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