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26596 — الرقم الفرعي: 99 — الرقم الأصلي: 26596 — ج: 44 — ص: 216</w:t>
        <w:br/>
      </w:r>
      <w:r>
        <w:rPr>
          <w:rtl w:val="1"/>
        </w:rPr>
        <w:t xml:space="preserve"> حدثنا عبد الله حدثني أبي ثنا حسين قال:ثنا خلف ملاحظة يعني ابن خليفة عن ليث عن علقمة بن مرثد عن المعرور بن سويد عن أمّ سلمة ملاحظة زوج النبيّ صلى الله عليه وسلم قالت :سمعت رسول الله صلى الله عليه وسلم</w:t>
        <w:br/>
      </w:r>
      <w:r>
        <w:rPr>
          <w:color w:val="000000"/>
          <w:rtl w:val="1"/>
        </w:rPr>
        <w:t xml:space="preserve">يقول:  </w:t>
      </w:r>
      <w:r>
        <w:rPr>
          <w:color w:val="FF0000"/>
          <w:rtl w:val="1"/>
        </w:rPr>
        <w:t xml:space="preserve">«إذا ظَهرَت المَعاصي في أُمّتي، عمَّهم اللهُ عزَّ وجلَّ بعذابٍ مِن عندِه»  </w:t>
      </w:r>
      <w:r>
        <w:rPr>
          <w:color w:val="FF0000"/>
          <w:rtl w:val="1"/>
        </w:rPr>
        <w:t xml:space="preserve">فقلتُ: يا رسولَ الله، أمَا فيهم يومَئذٍ أُناسٌ صالحون؟ قال: بلى، قالت: فكيفَ يَصنَعُ أُولئك؟ قال: «يُصيبُهم ما أَصابَ النّاس، ثم يَصِيرونَ إلى مَغفرةٍ من اللهِ ورِضْوان».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المبحث الثالث: ما يقع من فتنة النساء والفواحش ومنكرات الطعام والشراب واللباس والزينة - الفتن المتعلقة بالأخلاق والسلوك</w:t>
      </w:r>
    </w:p>
    <w:p>
      <w:pPr>
        <w:bidi w:val="1"/>
        <w:jc w:val="start"/>
      </w:pPr>
      <w:r>
        <w:rPr>
          <w:rtl w:val="1"/>
        </w:rPr>
        <w:t>الشرح: الدلالة: المطلب الخامس: ترك الجهاد والأمر بالمعروف والنهي عن المنكر - الفتن المتعلقة بالحكم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