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3583 — الرقم الفرعي: 99 — الرقم الأصلي: 3583</w:t>
        <w:br/>
      </w:r>
      <w:r>
        <w:rPr>
          <w:rtl w:val="1"/>
        </w:rPr>
        <w:t xml:space="preserve"> حدثنا محمد بن المثنى حدثنا يحيى بن كثير،أبو غسّان حدثنا أبو حفص ملاحظة واسمه عمر بن العلاء،أخو أبي عمرو بن العلاء قال:سمعت نافعاً عن ابن عمر رضي الله عنهما</w:t>
        <w:br/>
      </w:r>
      <w:r>
        <w:rPr>
          <w:color w:val="FF0000"/>
          <w:rtl w:val="1"/>
        </w:rPr>
        <w:t xml:space="preserve">كانَ النبيُّ ﷺ يَخْطُبُ إلى جِذْعٍ، فلمّا اتَّخذَ المِنْبر تَحوَّلَ إليه،  </w:t>
      </w:r>
      <w:r>
        <w:rPr>
          <w:color w:val="FF0000"/>
          <w:rtl w:val="1"/>
        </w:rPr>
        <w:t xml:space="preserve">فحَنَّ الجِذْعُ، فأتاه فمَسَحَ يدَه عليه. </w:t>
      </w:r>
      <w:r>
        <w:rPr>
          <w:color w:val="000000"/>
          <w:rtl w:val="1"/>
        </w:rPr>
        <w:t xml:space="preserve">وقال عبدُ الحميدِ: أخبرنا عُثمانُ بنُ عمرَ، أخبرنا مُعاذُ بنُ العَلاءِ، عن نافعٍ بهذا. </w:t>
      </w:r>
      <w:r>
        <w:rPr>
          <w:color w:val="000000"/>
          <w:rtl w:val="1"/>
        </w:rPr>
        <w:t xml:space="preserve">ورَوَاه أبو عاصمٍ، عن ابنِ أبي رَوّادٍ، عن نافعٍ، عن ابنِ عمرَ، عن النبيِّ ﷺ. </w:t>
      </w:r>
    </w:p>
    <w:p>
      <w:pPr>
        <w:bidi w:val="1"/>
        <w:jc w:val="start"/>
      </w:pPr>
      <w:r>
        <w:rPr>
          <w:rtl w:val="1"/>
        </w:rPr>
        <w:t>الشرح: الدلالة: حنين الجذع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الخطبة على المنبر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