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 ما جاء لا يزني الزاني وهو مؤمن-كتاب الإيمان-سنن الترمذي — رقم الحديث: 2626 — الرقم الفرعي: 99 — الرقم الأصلي: 2628</w:t>
        <w:br/>
      </w:r>
      <w:r>
        <w:rPr>
          <w:rtl w:val="1"/>
        </w:rPr>
        <w:t xml:space="preserve"> حدثنا أبو عبيدة بن أبي السفر ملاحظة واسمه أحمد بن عبد الله الهمدانيّ الكوفيّ قال:حدثنا حجّاج بن محمد عن يونس بن أبي إسحاق عن أبي إسحاق الهمدانيّ عن أبي جحيفة عن عليّ عن النبيّ صلى الله عليه وسلم</w:t>
        <w:br/>
      </w:r>
      <w:r>
        <w:rPr>
          <w:color w:val="FF0000"/>
          <w:rtl w:val="1"/>
        </w:rPr>
        <w:t xml:space="preserve">قال: «‌مَن ‌أصابَ ‌حَدًّا فَعُجِّلَ عقوبَتُهُ في الدُّنْيا، فاللهُ أعْدَلُ مِنْ أنْ يُثَنِّيَ على عَبْدِهِ العُقوبَةَ في الآخِرةِ،  </w:t>
      </w:r>
      <w:r>
        <w:rPr>
          <w:color w:val="FF0000"/>
          <w:rtl w:val="1"/>
        </w:rPr>
        <w:t xml:space="preserve">ومَنْ أصابَ حَدًّا، فسَتَرَهُ اللهُ عَلَيْهِ وعَفَا عَنْهُ، فاللهُ أكْرَمُ من أنْ يَعودَ في شَيءٍ قَد عَفَا عَنْهُ». </w:t>
      </w:r>
      <w:r>
        <w:rPr>
          <w:color w:val="000000"/>
          <w:rtl w:val="1"/>
        </w:rPr>
        <w:t xml:space="preserve">هذا حديثٌ حسنٌ غريبٌ. </w:t>
      </w:r>
      <w:r>
        <w:rPr>
          <w:color w:val="000000"/>
          <w:rtl w:val="1"/>
        </w:rPr>
        <w:t xml:space="preserve">وهذا قَوْلُ أهْلِ العِلْمِ لا نَعْلمُ أحدًا كَفَّرَ أحدًا بالزِّنى والسَّرِقةِ أو بشرب الخَمْرِ.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مشروعية العقوبة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