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القنوت في الوتر-كتاب الصلاة-سنن أبي داود — رقم الحديث: 1427 — الرقم الفرعي: 99 — الرقم الأصلي: 1427</w:t>
        <w:br/>
      </w:r>
      <w:r>
        <w:rPr>
          <w:rtl w:val="1"/>
        </w:rPr>
        <w:t xml:space="preserve"> حدثنا موسى بن إسماعيل ثنا حمّاد عن هشام بن عمرو الفزاريّ عن عبد الرحمن بن الحارث بن هشام عن عليّ بن أبي طالب رضي الله عنه</w:t>
        <w:br/>
      </w:r>
      <w:r>
        <w:rPr>
          <w:color w:val="FF0000"/>
          <w:rtl w:val="1"/>
        </w:rPr>
        <w:t xml:space="preserve">أن رسولَ الله ﷺ كان يقول في آخر وتره: </w:t>
      </w:r>
      <w:r>
        <w:rPr>
          <w:color w:val="FF0000"/>
          <w:rtl w:val="1"/>
        </w:rPr>
        <w:t xml:space="preserve">«اللهم إني أعوذُ برضاكَ من سخطك، وبمعافاتك مِن عُقوبتك، وأعوذُ بكَ منكَ، لا أُحصِي ثَنَاءَ عليكَ، أنتَ كما أثنيتَ على نفسِكَ». </w:t>
      </w:r>
      <w:r>
        <w:rPr>
          <w:color w:val="000000"/>
          <w:rtl w:val="1"/>
        </w:rPr>
        <w:t xml:space="preserve">قال أبو داود: هشامٌ أقدم شيخٍ لحماد، وبلغني عن يحيى بن معين أنه قال: لم يرو عنه غيرُ حماد بن سلمة. </w:t>
      </w:r>
      <w:r>
        <w:rPr>
          <w:color w:val="000000"/>
          <w:rtl w:val="1"/>
        </w:rPr>
        <w:t xml:space="preserve">قال أبو داود: روى عيسى بن يونس عن سعيد بن أبي عَروبةَ، عن قتادة، عن سعيد بن عبد الرحمن بن أبزى عن أبيه عن أبيٍّ بن كعب: أن رسولَ الله ﷺقنَت - يعني في الوتر - قبلَ الركوع. </w:t>
      </w:r>
      <w:r>
        <w:rPr>
          <w:color w:val="000000"/>
          <w:rtl w:val="1"/>
        </w:rPr>
        <w:t xml:space="preserve">قال أبو داود: وروى عيسى بنُ يونس هذا الحديثَ أيضاً عن فطرِ ابن خليفةَ، عن زُبيدٍ، عن سعيد بن عبد الرحمن بن أبزى، عن أبيه، عن أبي بن كعب، عن النبي ﷺ، مثله. </w:t>
      </w:r>
      <w:r>
        <w:rPr>
          <w:color w:val="FF0000"/>
          <w:rtl w:val="1"/>
        </w:rPr>
        <w:t xml:space="preserve">ورُوي عن حفص بن غياثِ عن مِسْعَرٍ، عن زُبَيدِ، عن سعيد بن عبد الرحمن بن أبزى، عن أبيه، عن أبيٍّ بن كعب: أن رسولَ الله ﷺ قنَت في الوتر قبلَ الركوع. </w:t>
      </w:r>
      <w:r>
        <w:rPr>
          <w:color w:val="000000"/>
          <w:rtl w:val="1"/>
        </w:rPr>
        <w:t xml:space="preserve">قال أبو داود: وحديثُ سعيدِ عن قتادة رواه يزيدُ بن زُريع، عن سعيد، عن قتادة، عن عَزرة، عن سعيد بن عبد الرحمن بن أبزى، عن أبيه، عن النبيِّ علم يذكُر القنوت، ولا ذكر أبيّاً. </w:t>
      </w:r>
      <w:r>
        <w:rPr>
          <w:color w:val="000000"/>
          <w:rtl w:val="1"/>
        </w:rPr>
        <w:t xml:space="preserve">وكذلك رواه عبدُ الأعلى ومحمد بنُ بشرٍ العَبدِيُ، وسماعُه بالكوفة مع عيسى بن يونس، ولم يذكروا القنوتَ. </w:t>
      </w:r>
      <w:r>
        <w:rPr>
          <w:color w:val="000000"/>
          <w:rtl w:val="1"/>
        </w:rPr>
        <w:t xml:space="preserve">وقد رواه أيضًا هشامٌ الدَّستوائي وشعبةُ عن قتادة، لم يذكرا القنوتَ. </w:t>
      </w:r>
      <w:r>
        <w:rPr>
          <w:color w:val="000000"/>
          <w:rtl w:val="1"/>
        </w:rPr>
        <w:t xml:space="preserve">وحديث زُبيد رواه سليمانُ الأعمشُ وشعبةُ وعبدُ الملك بنُ أبي سليمان وجريرُ بن حازم كلهم عن زُبيد لم يذكر أحدٌ منهم القنوتَ، إلا ما رُوِيَ عن حفص بن غياث عن مسعرٍ، عن زُبيد، فإنه قال في حديثه: إنه قنت قبلَ الركوع. </w:t>
      </w:r>
      <w:r>
        <w:rPr>
          <w:color w:val="000000"/>
          <w:rtl w:val="1"/>
        </w:rPr>
        <w:t xml:space="preserve">قال أبو داود: وليس هو بالمشهور من حديث حفص، نخافُ أن يكون عن حفص، عن غير مسعر. </w:t>
      </w:r>
      <w:r>
        <w:rPr>
          <w:color w:val="000000"/>
          <w:rtl w:val="1"/>
        </w:rPr>
        <w:t xml:space="preserve">قال أبو داود: ويروى أن أُبيًّا كان يقنت في النصف من رمضان. </w:t>
      </w:r>
    </w:p>
    <w:p>
      <w:pPr>
        <w:bidi w:val="1"/>
        <w:jc w:val="start"/>
      </w:pPr>
      <w:r>
        <w:rPr>
          <w:rtl w:val="1"/>
        </w:rPr>
        <w:t>درجة الحديث: صحيح</w:t>
      </w:r>
    </w:p>
    <w:p>
      <w:pPr>
        <w:bidi w:val="1"/>
        <w:jc w:val="start"/>
      </w:pPr>
      <w:r>
        <w:rPr>
          <w:rtl w:val="1"/>
        </w:rPr>
        <w:t>الشرح: الدلالة: التصور الإسلامي للالوهية - التصور الإسلامي</w:t>
      </w:r>
    </w:p>
    <w:p>
      <w:pPr>
        <w:bidi w:val="1"/>
        <w:jc w:val="start"/>
      </w:pPr>
      <w:r>
        <w:rPr>
          <w:rtl w:val="1"/>
        </w:rPr>
        <w:t>الشرح: الدلالة: الاستعانة والاستغاثة والاستعاذة - مظاهر توحيد الألوهية</w:t>
      </w:r>
    </w:p>
    <w:p>
      <w:pPr>
        <w:bidi w:val="1"/>
        <w:jc w:val="start"/>
      </w:pPr>
      <w:r>
        <w:rPr>
          <w:rtl w:val="1"/>
        </w:rPr>
        <w:t>الشرح: الدلالة: الثناء على الله - مظاهر توحيد الألوهية</w:t>
      </w:r>
    </w:p>
    <w:p>
      <w:pPr>
        <w:bidi w:val="1"/>
        <w:jc w:val="start"/>
      </w:pPr>
      <w:r>
        <w:rPr>
          <w:rtl w:val="1"/>
        </w:rPr>
        <w:t>الشرح: الدلالة: الصلوات والأحوال التي يقنت فيها - القنوت</w:t>
      </w:r>
    </w:p>
    <w:p>
      <w:pPr>
        <w:bidi w:val="1"/>
        <w:jc w:val="start"/>
      </w:pPr>
      <w:r>
        <w:rPr>
          <w:rtl w:val="1"/>
        </w:rPr>
        <w:t>الشرح: الدلالة: موضع القنوت - القنوت</w:t>
      </w:r>
    </w:p>
    <w:p>
      <w:pPr>
        <w:bidi w:val="1"/>
        <w:jc w:val="start"/>
      </w:pPr>
      <w:r>
        <w:rPr>
          <w:rtl w:val="1"/>
        </w:rPr>
        <w:t>الشرح: الدلالة: أدعية القنوت - القنوت</w:t>
      </w:r>
    </w:p>
    <w:p>
      <w:pPr>
        <w:bidi w:val="1"/>
        <w:jc w:val="start"/>
      </w:pPr>
      <w:r>
        <w:rPr>
          <w:rtl w:val="1"/>
        </w:rPr>
        <w:t>الشرح: الدلالة: القنوت في الوتر وأدعيته - صلاة الوتر</w:t>
      </w:r>
    </w:p>
    <w:p>
      <w:pPr>
        <w:bidi w:val="1"/>
        <w:jc w:val="start"/>
      </w:pPr>
      <w:r>
        <w:rPr>
          <w:rtl w:val="1"/>
        </w:rPr>
        <w:t>الشرح: الدلالة: التربية بالدعاء - الأساليب التربوية والتهذيبية</w:t>
      </w:r>
    </w:p>
    <w:p>
      <w:pPr>
        <w:bidi w:val="1"/>
        <w:jc w:val="start"/>
      </w:pPr>
      <w:r>
        <w:rPr>
          <w:rtl w:val="1"/>
        </w:rPr>
        <w:t>الشرح: الدلالة: النبي ﷺ يرجو رحمة الله ويخشى عذابه - تقوى النبي ﷺ وخوفه ربه ورجاؤه</w:t>
      </w:r>
    </w:p>
    <w:p>
      <w:pPr>
        <w:bidi w:val="1"/>
        <w:jc w:val="start"/>
      </w:pPr>
      <w:r>
        <w:rPr>
          <w:rtl w:val="1"/>
        </w:rPr>
        <w:t>الشرح: الدلالة: قنوته ﷺ في الصلاة - أدعية الصلاة</w:t>
      </w:r>
    </w:p>
    <w:p>
      <w:pPr>
        <w:bidi w:val="1"/>
        <w:jc w:val="start"/>
      </w:pPr>
      <w:r>
        <w:rPr>
          <w:rtl w:val="1"/>
        </w:rPr>
        <w:t>الشرح: الدلالة: القنوت في الصلاة - أذكار الصلاة وأدعيتها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