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لبس الشُّهرة-كتاب اللباس-سنن أبي داود — رقم الحديث: 4029 — الرقم الفرعي: 99 — الرقم الأصلي: 4029</w:t>
        <w:br/>
      </w:r>
      <w:r>
        <w:rPr>
          <w:rtl w:val="1"/>
        </w:rPr>
        <w:t xml:space="preserve"> حدثنا محمد بن عيسى ثنا أبو عوانة ح وثنا محمد ملاحظة يعني ابن عيسى عن شريك عن عثمان بن أبي زرعة عن المهاجر الشاميّ عن ابن عمر ملاحظة قال في حديث شريك:يرفعه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لَبِسَ ثوبَ شُهرةٍ، ألبَسَه اللهُ يومَ القِيامةِ ثوبًا مِثلَه»  </w:t>
      </w:r>
      <w:r>
        <w:rPr>
          <w:color w:val="FF0000"/>
          <w:rtl w:val="1"/>
        </w:rPr>
        <w:t xml:space="preserve">زادَ عن أبي عَوانة: «ثُمَّ تَلهَّبُ فيه النّار». 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سابعًا: ألا يكون لباس شهرة، وهو كل ثوب يقصد به الاشتهار بين الناس - حجاب المرأة المسلمة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الآخرة - التصور الإسلامي</w:t>
      </w:r>
    </w:p>
    <w:p>
      <w:pPr>
        <w:bidi w:val="1"/>
        <w:jc w:val="start"/>
      </w:pPr>
      <w:r>
        <w:rPr>
          <w:rtl w:val="1"/>
        </w:rPr>
        <w:t>الشرح: الدلالة: الكبر والتكبر.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حال المتكبرين في المحشر - حال العصاة بصفة عامة في المحشر</w:t>
      </w:r>
    </w:p>
    <w:p>
      <w:pPr>
        <w:bidi w:val="1"/>
        <w:jc w:val="start"/>
      </w:pPr>
      <w:r>
        <w:rPr>
          <w:rtl w:val="1"/>
        </w:rPr>
        <w:t>الشرح: الدلالة: لباس الشهرة - هيئات اللباس</w:t>
      </w:r>
    </w:p>
    <w:p>
      <w:pPr>
        <w:bidi w:val="1"/>
        <w:jc w:val="start"/>
      </w:pPr>
      <w:r>
        <w:rPr>
          <w:rtl w:val="1"/>
        </w:rPr>
        <w:t>الشرح: الدلالة: لباس الشهرة (انظر هيئات اللباس) - اللباس المنهي عنه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