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14167 — الرقم الفرعي: 99 — الرقم الأصلي: 14167</w:t>
        <w:br/>
      </w:r>
      <w:r>
        <w:rPr>
          <w:rtl w:val="1"/>
        </w:rPr>
        <w:t xml:space="preserve"> حدثنا عبد الله حدثني أبي ثنا عبد الرزاق و محمد بن بكر قالا:ثنا ابن جريج وقال سليمان بن موسى قال: قال جابر قال: قال النبيّ صلى الله عليه وسلم</w:t>
        <w:br/>
      </w:r>
      <w:r>
        <w:rPr>
          <w:color w:val="FF0000"/>
          <w:rtl w:val="1"/>
        </w:rPr>
        <w:t xml:space="preserve">لا وَفَاءَ لِنذرٍ في مَعصِيَةِ اللهِ عزّ وجلّ.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p>
      <w:pPr>
        <w:bidi w:val="1"/>
        <w:jc w:val="start"/>
      </w:pPr>
      <w:r>
        <w:rPr>
          <w:rtl w:val="1"/>
        </w:rPr>
        <w:t>الشرح: الدلالة: كفارة النذر - النذور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