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bidi w:val="1"/>
        <w:jc w:val="start"/>
      </w:pPr>
      <w:r>
        <w:rPr>
          <w:rtl w:val="1"/>
        </w:rPr>
        <w:t>مختارات من مكتبة الحديث</w:t>
      </w:r>
    </w:p>
    <w:p>
      <w:pPr>
        <w:bidi w:val="1"/>
        <w:jc w:val="start"/>
      </w:pPr>
      <w:r>
        <w:rPr>
          <w:rtl w:val="1"/>
        </w:rPr>
        <w:t>تقرير يضم 1 حديثًا من المحتوى المنشور. الشواهد المميزة مرتبطة بالدلالة المختارة أو بالتصنيفات المنشورة عند عدم اختيار دلالة. الأحكام من السجلات الأصلية.</w:t>
      </w:r>
    </w:p>
    <w:p>
      <w:pPr>
        <w:bidi w:val="1"/>
        <w:jc w:val="start"/>
      </w:pPr>
      <w:r>
        <w:rPr>
          <w:rtl w:val="1"/>
        </w:rPr>
        <w:fldChar w:fldCharType="begin"/>
        <w:instrText xml:space="preserve">TOC \o "1-9" \h \z \u</w:instrText>
        <w:fldChar w:fldCharType="end"/>
      </w:r>
    </w:p>
    <w:p>
      <w:pPr>
        <w:pStyle w:val="Heading1"/>
        <w:bidi w:val="1"/>
        <w:jc w:val="start"/>
      </w:pPr>
      <w:r>
        <w:rPr>
          <w:rtl w:val="1"/>
        </w:rPr>
        <w:t>الأحاديث المختارة</w:t>
      </w:r>
    </w:p>
    <w:p>
      <w:pPr>
        <w:bidi w:val="1"/>
        <w:jc w:val="start"/>
      </w:pPr>
      <w:r>
        <w:rPr>
          <w:b/>
          <w:rtl w:val="1"/>
        </w:rPr>
        <w:t>المعجم الأوسط — رقم الحديث: 4755 — الرقم الفرعي: 99 — الرقم الأصلي: 4755 — ج: 5 — ص: 88</w:t>
        <w:br/>
      </w:r>
      <w:r>
        <w:rPr>
          <w:rtl w:val="1"/>
        </w:rPr>
        <w:t xml:space="preserve">  حدثنا عبد الرحمن بن الحسين أبو مسعود الصابونيّ التستريّ، قال: حدثنا عبد الأعلى بن واصل بن عبد الأعلى، قال: حدثنا إسماعيل بن صبيح اليشكريّ، قال: حدثنا مبارك بن حسان، عن نافع، عن ابن عمر</w:t>
        <w:br/>
      </w:r>
      <w:r>
        <w:rPr>
          <w:color w:val="000000"/>
          <w:rtl w:val="1"/>
        </w:rPr>
        <w:t xml:space="preserve">قال:  </w:t>
      </w:r>
      <w:r>
        <w:rPr>
          <w:color w:val="000000"/>
          <w:rtl w:val="1"/>
        </w:rPr>
        <w:t xml:space="preserve">كنَّا نُسافِر مع رسول الله ﷺ،  </w:t>
      </w:r>
      <w:r>
        <w:rPr>
          <w:color w:val="000000"/>
          <w:rtl w:val="1"/>
        </w:rPr>
        <w:t xml:space="preserve">فإذا رأى القريةَ يُريدُ أن يَدخُلَها قال: «اللهمَّ بارِكْ لنا فيها» ثلاثَ مرَّات، «اللّهمَّ ارزُقنا جَناها، وحبِّبنا إلى أَهلِها، وحبِّب صالِحِى أَهلِها إلينا».  </w:t>
      </w:r>
      <w:r>
        <w:rPr>
          <w:color w:val="000000"/>
          <w:rtl w:val="1"/>
        </w:rPr>
        <w:t xml:space="preserve">لم يَروِ هذا الحديثَ عن مُبارك بن حَسَّان إلّا إسماعيلُ بنُ صَبيح. </w:t>
      </w:r>
    </w:p>
    <w:p>
      <w:pPr>
        <w:bidi w:val="1"/>
        <w:jc w:val="start"/>
      </w:pPr>
      <w:r>
        <w:rPr>
          <w:rtl w:val="1"/>
        </w:rPr>
        <w:t>درجة الحديث: إسناده ضعيف جداً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updateFields w:val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  <w:rFonts w:cs="Arial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