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باب-كتاب الزهد-سنن ابن ماجة — رقم الحديث: 4105 — الرقم الفرعي: 99 — الرقم الأصلي: 4105</w:t>
        <w:br/>
      </w:r>
      <w:r>
        <w:rPr>
          <w:rtl w:val="1"/>
        </w:rPr>
        <w:t xml:space="preserve"> حدثنا محمد بن بشّار ثنا محمد بن جعفر ثنا شعبة عن عمر بن سليمان قال:سمعت عبد الرحمن بن أبان بن عثمان بن عفّان عن أبيه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خرجَ زيدُ بن ثابت مِن عندِ مروان بنصفِ النَّهار،  </w:t>
      </w:r>
      <w:r>
        <w:rPr>
          <w:color w:val="000000"/>
          <w:rtl w:val="1"/>
        </w:rPr>
        <w:t xml:space="preserve">قلت: ما بعثَ إليه هذه الساعة إلّا لشيءٍ يَسألُ عنه، </w:t>
      </w:r>
      <w:r>
        <w:rPr>
          <w:color w:val="000000"/>
          <w:rtl w:val="1"/>
        </w:rPr>
        <w:t xml:space="preserve"> فسألتُه، فقال: سألَنا عن أشياءَ سَمعناها مِن رسول الله ﷺ، </w:t>
      </w:r>
      <w:r>
        <w:rPr>
          <w:color w:val="000000"/>
          <w:rtl w:val="1"/>
        </w:rPr>
        <w:t xml:space="preserve"> سمعتُ رسول الله ﷺ يقول:  </w:t>
      </w:r>
      <w:r>
        <w:rPr>
          <w:color w:val="000000"/>
          <w:rtl w:val="1"/>
        </w:rPr>
        <w:t xml:space="preserve">«مَن كانت الدنيا همَّه فرَّق اللهُ عليه أَمره، وجعلَ فقرَه بينَ عَينَيه، ولَم يَأتِه مِن الدُّنيا إلَّا ما كُتِب له،  </w:t>
      </w:r>
      <w:r>
        <w:rPr>
          <w:color w:val="FF0000"/>
          <w:rtl w:val="1"/>
        </w:rPr>
        <w:t xml:space="preserve">ومَن كانت الآخِرَةُ نِيَّتَه جَمَعَ اللهُ له أَمرَه، وجَعَلَ غِنَاه في قَلبِه، وأَتَته الدُّنيا وهِي راغِمَة». 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التصور الإسلامي للحياة الدنيا - التصور الإسلامي</w:t>
      </w:r>
    </w:p>
    <w:p>
      <w:pPr>
        <w:bidi w:val="1"/>
        <w:jc w:val="start"/>
      </w:pPr>
      <w:r>
        <w:rPr>
          <w:rtl w:val="1"/>
        </w:rPr>
        <w:t>الشرح: الدلالة: الورع والزهد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إيثار الآخرة على الدنيا.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إيثار الدنيا على الآخرة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إيثار الآخرة على الدنيا. - أثر الإيمان بالآخرة في حياة المسلم--------------------</w:t>
      </w:r>
    </w:p>
    <w:p>
      <w:pPr>
        <w:bidi w:val="1"/>
        <w:jc w:val="start"/>
      </w:pPr>
      <w:r>
        <w:rPr>
          <w:rtl w:val="1"/>
        </w:rPr>
        <w:t>الشرح: الدلالة: الدافع (الباعث والحافزوالتعزيز) - مبادئ التعلم وشروطه</w:t>
      </w:r>
    </w:p>
    <w:p>
      <w:pPr>
        <w:bidi w:val="1"/>
        <w:jc w:val="start"/>
      </w:pPr>
      <w:r>
        <w:rPr>
          <w:rtl w:val="1"/>
        </w:rPr>
        <w:t>الشرح: الدلالة: قيمة الغِنَى غِنَى النفس - قيم القناعة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