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إثبات حوض نبيّنا صلى الله عليه وسلم،وصفاته-كتاب الفضائل-صحيح مسلم — رقم الحديث: 2295 — الرقم الفرعي: 1 — الرقم الأصلي: 2295</w:t>
        <w:br/>
      </w:r>
      <w:r>
        <w:rPr>
          <w:rtl w:val="1"/>
        </w:rPr>
        <w:t xml:space="preserve"> وحدثني يونس بن عبد الأعلى الصَّدَفيّ أخبرنا عبد الله بن وهب أخبرني عمرو ملاحظة وهو ابن الحارث أنّ بُكَيْراً حدثه عن القاسم بن عباس الهاشميّ عن عبد الله بن رافع ملاحظة مولى أمّ سلمة عن أمّ سلمة زوج النبي صلى الله عليه وسلم</w:t>
        <w:br/>
      </w:r>
      <w:r>
        <w:rPr>
          <w:color w:val="000000"/>
          <w:rtl w:val="1"/>
        </w:rPr>
        <w:t xml:space="preserve">أنها قالت:  </w:t>
      </w:r>
      <w:r>
        <w:rPr>
          <w:color w:val="000000"/>
          <w:rtl w:val="1"/>
        </w:rPr>
        <w:t xml:space="preserve">كنتُ أَسمَعُ الناسَ يَذكُرونَ الحَوضَ، ولم أَسمَع ذلك مِن رَسولِ الله ﷺ،  </w:t>
      </w:r>
      <w:r>
        <w:rPr>
          <w:color w:val="000000"/>
          <w:rtl w:val="1"/>
        </w:rPr>
        <w:t xml:space="preserve">فلمّا كان يومًا مِن ذلك، والجاريةُ تَمْشُطُنِي، فسَمِعتُ رَسولَ الله ﷺ يقول: «أيُّها الناسُ» فقلتُ للجارِية: استَأخِرِي عنِّي.  </w:t>
      </w:r>
      <w:r>
        <w:rPr>
          <w:color w:val="000000"/>
          <w:rtl w:val="1"/>
        </w:rPr>
        <w:t xml:space="preserve">قالت: إنَّما دعا الرِّجالَ ولم يدْعُ النِّساءَ، فقلت: إنِّي مِنَ النّاس،  </w:t>
      </w:r>
      <w:r>
        <w:rPr>
          <w:color w:val="000000"/>
          <w:rtl w:val="1"/>
        </w:rPr>
        <w:t xml:space="preserve">فقال رسولُ الله ﷺ: «إنِّي لكُم فَرَطٌ على الحَوض،  </w:t>
      </w:r>
      <w:r>
        <w:rPr>
          <w:color w:val="FF0000"/>
          <w:rtl w:val="1"/>
        </w:rPr>
        <w:t xml:space="preserve">فإيَّايَ، لا يأتِيَنَّ أَحدُكم فيُذَبُّ عنِّي كما يُذَبُّ البَعيرُ الضَّالّ، فأَقول: فيمَ هذا؟ فيُقال: إنّك لا تَدري ما أَحدَثُوا بعدَك، فأَقول: سُحْقًا».  </w:t>
      </w:r>
    </w:p>
    <w:p>
      <w:pPr>
        <w:bidi w:val="1"/>
        <w:jc w:val="start"/>
      </w:pPr>
      <w:r>
        <w:rPr>
          <w:rtl w:val="1"/>
        </w:rPr>
        <w:t>الشرح: الدلالة: التوجيه بترك المعصية - العقوبات</w:t>
      </w:r>
    </w:p>
    <w:p>
      <w:pPr>
        <w:bidi w:val="1"/>
        <w:jc w:val="start"/>
      </w:pPr>
      <w:r>
        <w:rPr>
          <w:rtl w:val="1"/>
        </w:rPr>
        <w:t>الشرح: الدلالة: الترهيب بالجزاء ألأخروي - التوجيه بترك ألمعصية</w:t>
      </w:r>
    </w:p>
    <w:p>
      <w:pPr>
        <w:bidi w:val="1"/>
        <w:jc w:val="start"/>
      </w:pPr>
      <w:r>
        <w:rPr>
          <w:rtl w:val="1"/>
        </w:rPr>
        <w:t>الشرح: الدلالة: العوائق الفكرية</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اتباع الحق - القيم والأخلاق المحمودة</w:t>
      </w:r>
    </w:p>
    <w:p>
      <w:pPr>
        <w:bidi w:val="1"/>
        <w:jc w:val="start"/>
      </w:pPr>
      <w:r>
        <w:rPr>
          <w:rtl w:val="1"/>
        </w:rPr>
        <w:t>الشرح: الدلالة: إيثار الآخرة على الدنيا. - القيم والأخلاق المحمودة</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البدع والخرافات والموروثات الفكرية الباطلة</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الالتزام بالكتاب والسنة</w:t>
      </w:r>
    </w:p>
    <w:p>
      <w:pPr>
        <w:bidi w:val="1"/>
        <w:jc w:val="start"/>
      </w:pPr>
      <w:r>
        <w:rPr>
          <w:rtl w:val="1"/>
        </w:rPr>
        <w:t>الشرح: الدلالة: المطرودون عن الحوض والمحرومون منه - تاسعًا: الحوض</w:t>
      </w:r>
    </w:p>
    <w:p>
      <w:pPr>
        <w:bidi w:val="1"/>
        <w:jc w:val="start"/>
      </w:pPr>
      <w:r>
        <w:rPr>
          <w:rtl w:val="1"/>
        </w:rPr>
        <w:t>الشرح: الدلالة: خطب المناسبات و المواعظ</w:t>
      </w:r>
    </w:p>
    <w:p>
      <w:pPr>
        <w:bidi w:val="1"/>
        <w:jc w:val="start"/>
      </w:pPr>
      <w:r>
        <w:rPr>
          <w:rtl w:val="1"/>
        </w:rPr>
        <w:t>الشرح: الدلالة: التحذير من الابتداع في الدين واتباع الهوى - ما ورد في الرأي المذموم</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