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صوم ثلثي الدهر،وذكر اختلاف الناقلين للخبر في ذلك-كتاب الصيام-سنن النسائي — رقم الحديث: 2385 — الرقم الفرعي: 99 — الرقم الأصلي: 2385</w:t>
        <w:br/>
      </w:r>
      <w:r>
        <w:rPr>
          <w:rtl w:val="1"/>
        </w:rPr>
        <w:t xml:space="preserve"> أخبرنا محمد بن بشّار قال:حدثنا عبد الرحمن قال:حدثنا سفيان عن الأعمش عن أبي عمّار عن عمرو بن شرحبيل عن رجُلٍ مِن أصحاب النبيّ صلى الله عليه وسلم</w:t>
        <w:br/>
      </w:r>
      <w:r>
        <w:rPr>
          <w:color w:val="FF0000"/>
          <w:rtl w:val="1"/>
        </w:rPr>
        <w:t xml:space="preserve">قال: قِيلَ لِلنَّبِيِّ ﷺ: رَجُلٌ يَصومُ الدَّهرَ، قال:  </w:t>
      </w:r>
      <w:r>
        <w:rPr>
          <w:color w:val="FF0000"/>
          <w:rtl w:val="1"/>
        </w:rPr>
        <w:t xml:space="preserve">«وَدِدتُ أَنَّهُ لَم يَطعَمِ الدَّهرَ» ،  </w:t>
      </w:r>
      <w:r>
        <w:rPr>
          <w:color w:val="FF0000"/>
          <w:rtl w:val="1"/>
        </w:rPr>
        <w:t xml:space="preserve">قالُوا: فثُلُثَيهِ، قال: «أَكثَرَ» ، قالوا: فَنِصفَه، قال: «أَكْثَرَ» ،  </w:t>
      </w:r>
      <w:r>
        <w:rPr>
          <w:color w:val="FF0000"/>
          <w:rtl w:val="1"/>
        </w:rPr>
        <w:t xml:space="preserve">ثُمَّ قال: «أَلا أُخبِرُكُم بما يُذهِبُ وَحَرَ الصَّدرِ؟ صَومُ ثَلاثَةِ أَيَّامٍ مِن كُلِّ شَهْرٍ».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يوم وإفطار يوم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