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لبس الحرير وافتراشه للرجال-كتاب اللباس-صحيح البخاري — رقم الحديث: 5833 — الرقم الفرعي: 99 — الرقم الأصلي: 5833</w:t>
        <w:br/>
      </w:r>
      <w:r>
        <w:rPr>
          <w:rtl w:val="1"/>
        </w:rPr>
        <w:t xml:space="preserve"> حدثنا سليمان بن حرب حدثنا حمّاد بن زيد عن ثابت قال:سمعت ابن الزبير</w:t>
        <w:br/>
      </w:r>
      <w:r>
        <w:rPr>
          <w:color w:val="000000"/>
          <w:rtl w:val="1"/>
        </w:rPr>
        <w:t xml:space="preserve">يَخطُبُ يقولُ: قال محمَّدٌ ﷺ:  </w:t>
      </w:r>
      <w:r>
        <w:rPr>
          <w:color w:val="FF0000"/>
          <w:rtl w:val="1"/>
        </w:rPr>
        <w:t xml:space="preserve">«مَن لَبِسَ الحريرَ في الدُّنْيا لم يَلبَسْه في الآخرةِ». 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الترهيب بالجزاء ألأخروي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الحرير (ومنه السندس والإستبرق والديباج والسيراء والخَزّ)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