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162 — الرقم الفرعي: 99 — الرقم الأصلي: 162 — ج: 1 — ص: 24</w:t>
        <w:br/>
      </w:r>
      <w:r>
        <w:rPr>
          <w:rtl w:val="1"/>
        </w:rPr>
        <w:t xml:space="preserve"> حدثنا سفيان عن الزهريّ سمع مالك بن أوس بن الحَدَثان سمع عمر بن الخطاب يقول:قال رسول الله صلى الله عليه وسلم وقال سفيان ملاحظة مرةً سمع رسول الله صلى الله عليه وسلم</w:t>
        <w:br/>
      </w:r>
      <w:r>
        <w:rPr>
          <w:color w:val="000000"/>
          <w:rtl w:val="1"/>
        </w:rPr>
        <w:t xml:space="preserve">«الذَّهَبُ بِالوَرِقِ رِبًا إِلَّا هاءَ وَهاءَ، وَالْبُرُّ بِالْبُرِّ رِبًا إِلَّا هاءَ وَهاءَ، وَالشَّعِيرُ بِالشَّعِيرِ رِبًا إِلَّا هاءَ وَهاءَ، وَالتَّمرُ بِالتَّمرِ رِبًا إِلَّا هاءَ وَهاءَ»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