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  <w:bidi w:val="1"/>
        <w:jc w:val="start"/>
      </w:pPr>
      <w:r>
        <w:rPr>
          <w:rtl w:val="1"/>
        </w:rPr>
        <w:t>مختارات من مكتبة الحديث</w:t>
      </w:r>
    </w:p>
    <w:p>
      <w:pPr>
        <w:bidi w:val="1"/>
        <w:jc w:val="start"/>
      </w:pPr>
      <w:r>
        <w:rPr>
          <w:rtl w:val="1"/>
        </w:rPr>
        <w:t>تقرير يضم 1 حديثًا من المحتوى المنشور. الشواهد المميزة مرتبطة بالدلالة المختارة أو بالتصنيفات المنشورة عند عدم اختيار دلالة. الأحكام من السجلات الأصلية.</w:t>
      </w:r>
    </w:p>
    <w:p>
      <w:pPr>
        <w:bidi w:val="1"/>
        <w:jc w:val="start"/>
      </w:pPr>
      <w:r>
        <w:rPr>
          <w:rtl w:val="1"/>
        </w:rPr>
        <w:fldChar w:fldCharType="begin"/>
        <w:instrText xml:space="preserve">TOC \o "1-9" \h \z \u</w:instrText>
        <w:fldChar w:fldCharType="end"/>
      </w:r>
    </w:p>
    <w:p>
      <w:pPr>
        <w:pStyle w:val="Heading1"/>
        <w:bidi w:val="1"/>
        <w:jc w:val="start"/>
      </w:pPr>
      <w:r>
        <w:rPr>
          <w:rtl w:val="1"/>
        </w:rPr>
        <w:t>الأحاديث المختارة</w:t>
      </w:r>
    </w:p>
    <w:p>
      <w:pPr>
        <w:bidi w:val="1"/>
        <w:jc w:val="start"/>
      </w:pPr>
      <w:r>
        <w:rPr>
          <w:b/>
          <w:rtl w:val="1"/>
        </w:rPr>
        <w:t>مسند أحمد — رقم الحديث: 17778 — الرقم الفرعي: 99 — الرقم الأصلي: 17778 — ج: 4 — ص: 199</w:t>
        <w:br/>
      </w:r>
      <w:r>
        <w:rPr>
          <w:rtl w:val="1"/>
        </w:rPr>
        <w:t xml:space="preserve"> حدثنا عبد الرزاق قال:ثنا معمر عن طاوس عن أبي بكر بن محمد بن عمرو بن حزم عن أبيه</w:t>
        <w:br/>
      </w:r>
      <w:r>
        <w:rPr>
          <w:color w:val="000000"/>
          <w:rtl w:val="1"/>
        </w:rPr>
        <w:t xml:space="preserve">قال:  </w:t>
      </w:r>
      <w:r>
        <w:rPr>
          <w:color w:val="000000"/>
          <w:rtl w:val="1"/>
        </w:rPr>
        <w:t xml:space="preserve">لمّا قُتِلَ عمّارُ بنُ ياسِر دَخلَ عَمرو بن حَزْمٍ على عَمرو بنِ العاص، فقال: قُتِل عمّارٌ، وقد قال رسولُ الله ﷺ: «تَقتُلُه الفِئةُ الباغية»،  </w:t>
      </w:r>
      <w:r>
        <w:rPr>
          <w:color w:val="000000"/>
          <w:rtl w:val="1"/>
        </w:rPr>
        <w:t xml:space="preserve">فقامَ عمرو بنُ العاص فزعًا يُرجِّع، حتى دخلَ على مُعاوية، فقال له معاوية: ما شأنُك؟ قال: قُتلَ عمّار، فقالَ معاوية: قد قُتلَ عمّارٌ، فماذا؟ قال عمرو: سمِعتُ رسولَ الله ﷺ يقول: «تَقتُله الفِئةُ الباغِية»  </w:t>
      </w:r>
      <w:r>
        <w:rPr>
          <w:color w:val="000000"/>
          <w:rtl w:val="1"/>
        </w:rPr>
        <w:t xml:space="preserve">فقال له معاوية: دَحَضْتَ في بَولِك، أوَنحن قتَلناه؟! إنَّما قتَلَه عليٌّ وأَصحابُه، جاؤوا به حتى أَلقَوهُ بينَ رِماحِنا. أو قال: بينَ سُيوفِنا. </w:t>
      </w:r>
    </w:p>
    <w:p>
      <w:pPr>
        <w:bidi w:val="1"/>
        <w:jc w:val="start"/>
      </w:pPr>
      <w:r>
        <w:rPr>
          <w:rtl w:val="1"/>
        </w:rPr>
        <w:t>درجة الحديث: صحيح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  <w:updateFields w:val="tru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  <w:rFonts w:cs="Arial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