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1989 — الرقم الفرعي: 99 — الرقم الأصلي: 1352 — ج: 2 — ص: 214</w:t>
        <w:br/>
      </w:r>
      <w:r>
        <w:rPr>
          <w:rtl w:val="1"/>
        </w:rPr>
        <w:t xml:space="preserve"> حدثني يحيى عن مالك أنه بلغه أن عمر بن الخطاب</w:t>
        <w:br/>
      </w:r>
      <w:r>
        <w:rPr>
          <w:color w:val="000000"/>
          <w:rtl w:val="1"/>
        </w:rPr>
        <w:t xml:space="preserve">أنَّه بلَغَه،  </w:t>
      </w:r>
      <w:r>
        <w:rPr>
          <w:color w:val="FF0000"/>
          <w:rtl w:val="1"/>
        </w:rPr>
        <w:t xml:space="preserve">أنَّ عمرَ بنَ الخطّاب قالَ في رجلٍ أَسلَفَ رَجلًا طعامًا، على أن يُعطِيَه إيّاه في بلدٍ آخَر، فكَرِه ذلك عمرُ بنُ الخطّاب، وقال: فأينَ الحَمْلُ،  </w:t>
      </w:r>
      <w:r>
        <w:rPr>
          <w:color w:val="000000"/>
          <w:rtl w:val="1"/>
        </w:rPr>
        <w:t xml:space="preserve">يعني حُمْلانَهُ.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مكان بدل القرض - بدل القرض</w:t>
      </w:r>
    </w:p>
    <w:p>
      <w:pPr>
        <w:bidi w:val="1"/>
        <w:jc w:val="start"/>
      </w:pPr>
      <w:r>
        <w:rPr>
          <w:rtl w:val="1"/>
        </w:rPr>
        <w:t>الشرح: الدلالة: حكم اشْتِرَاط ما يَجُر نَفْعًا إِلَى المقرض فوق القرض - حكم اشتراط جر النفع للمقرض بسبب القرض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