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أين يقوم الإمام من الميت إذا صلّى عليه-أول كتاب الجنائز-سنن أبي داود — رقم الحديث: 3194 — الرقم الفرعي: 99 — الرقم الأصلي: 3194</w:t>
        <w:br/>
      </w:r>
      <w:r>
        <w:rPr>
          <w:rtl w:val="1"/>
        </w:rPr>
        <w:t xml:space="preserve"> حدثنا داود بن معاذ ثنا عبد الوارث عن نافع أبي غالب</w:t>
        <w:br/>
      </w:r>
      <w:r>
        <w:rPr>
          <w:color w:val="000000"/>
          <w:rtl w:val="1"/>
        </w:rPr>
        <w:t xml:space="preserve">قال: كنتُ في سِكَّةِ المِرْبَد، فمرَّت جِنازةٌ معها ناسٌ كَثير، قالوا: جِنازةُ عبدِ الله بنِ عُمير، فتَبعتُها،  </w:t>
      </w:r>
      <w:r>
        <w:rPr>
          <w:color w:val="000000"/>
          <w:rtl w:val="1"/>
        </w:rPr>
        <w:t xml:space="preserve">فإذا أنا برَجُل عليه كِساءٌ رَقيقٌ على بُرَيْذِينَة، على رأسِه خِرقةٌ تَقِيهِ من الشَّمس، فقلتُ: مَن هذا الدِّهْقانُ؟ فقالوا: أَنسُ بنُ مالك،  </w:t>
      </w:r>
      <w:r>
        <w:rPr>
          <w:color w:val="FF0000"/>
          <w:rtl w:val="1"/>
        </w:rPr>
        <w:t xml:space="preserve">فلمّا وُضِعتِ الجِنازةُ قام أنسٌ، فصلَّى عليها  </w:t>
      </w:r>
      <w:r>
        <w:rPr>
          <w:color w:val="000000"/>
          <w:rtl w:val="1"/>
        </w:rPr>
        <w:t xml:space="preserve">وأنا خَلْفَه لا يحُولُ بَينِي وبينَه شيءٌ،  </w:t>
      </w:r>
      <w:r>
        <w:rPr>
          <w:color w:val="FF0000"/>
          <w:rtl w:val="1"/>
        </w:rPr>
        <w:t xml:space="preserve">فقامَ عندَ رأسِه  </w:t>
      </w:r>
      <w:r>
        <w:rPr>
          <w:color w:val="FF0000"/>
          <w:rtl w:val="1"/>
        </w:rPr>
        <w:t xml:space="preserve">فكبَّر أربعَ تَكبيراتٍ، لم يُطِلْ ولم يُسرعْ،  </w:t>
      </w:r>
      <w:r>
        <w:rPr>
          <w:color w:val="FF0000"/>
          <w:rtl w:val="1"/>
        </w:rPr>
        <w:t xml:space="preserve">ثم ذهب يقعُدُ، فقالوا: يا أبا حمزةَ، المرأةَ الأنصاريةَ! فقرَّبوها وعليها نعشٌ أَخضرُ،  </w:t>
      </w:r>
      <w:r>
        <w:rPr>
          <w:color w:val="FF0000"/>
          <w:rtl w:val="1"/>
        </w:rPr>
        <w:t xml:space="preserve">فقام عند عَجِيزتها،  </w:t>
      </w:r>
      <w:r>
        <w:rPr>
          <w:color w:val="000000"/>
          <w:rtl w:val="1"/>
        </w:rPr>
        <w:t xml:space="preserve">فصَلَّى عليها نحوَ صَلاتِه على الرَّجل، ثم جَلَس،  </w:t>
      </w:r>
      <w:r>
        <w:rPr>
          <w:color w:val="000000"/>
          <w:rtl w:val="1"/>
        </w:rPr>
        <w:t xml:space="preserve">فقال العلاء بنُ زياد: يا أبا حمزةَ، هكذا كانَ رَسولُ الله ﷺ يُصلِّي على الجِنازةِ كصَلاتكَ:  </w:t>
      </w:r>
      <w:r>
        <w:rPr>
          <w:color w:val="000000"/>
          <w:rtl w:val="1"/>
        </w:rPr>
        <w:t xml:space="preserve">يُكبِّرُ عليها أربعًا،  </w:t>
      </w:r>
      <w:r>
        <w:rPr>
          <w:color w:val="000000"/>
          <w:rtl w:val="1"/>
        </w:rPr>
        <w:t xml:space="preserve">ويقومُ عندَ رأسِ الرَّجلِ وعَجيزةِ المرأةِ؟  </w:t>
      </w:r>
      <w:r>
        <w:rPr>
          <w:color w:val="000000"/>
          <w:rtl w:val="1"/>
        </w:rPr>
        <w:t xml:space="preserve">قال: نعم،  </w:t>
      </w:r>
      <w:r>
        <w:rPr>
          <w:color w:val="FF0000"/>
          <w:rtl w:val="1"/>
        </w:rPr>
        <w:t xml:space="preserve">قال: يا أبا حمزةَ، غزَوتَ مع رسولِ الله ﷺ؟ قال: نعم، غزوتُ معه حُنَينًا، فخرَجَ المُشرِكونَ فحَمَلوا علينا، حتى رأَينا خَيلَنا وراءَ ظُهورِنا، وفي القوم رجلٌ يَحمِلُ علينا فيَدقُّنا ويحَطِمُنا، فهَزَمَهم اللهُ، وجعلَ يُجاءُ بهم فيُبايعونَه على الإسلام، فقالَ رجلٌ من أصحابِ النّبيِّ ﷺ: إنَّ علىَّ نذرًا إن جاءَ الله عزَّ وجلَّ بالرَّجل الذي كان منذُ اليومِ يَحَطِمُنا لأَضرِبنَّ عُنقَه، فسَكتَ رسولُ الله ﷺ، وجيءَ بالرَّجل، فلمّا رأى رسولَ الله ﷺ، قال: يا رسولَ الله، تُبتُ إلى الله، فأمسَكَ رَسولُ الله ﷺ عنه لا يُبَايعُه لِيَفيَ الآخَرُ بنذْرِه، قال: فجَعَلَ الرَّجلُ يتَصَدَّى لِرسولِ الله ﷺ ليأمُرَه بقَتلِه، وجعل يَهابُ رسولَ الله ﷺ أن يقتلَه، فلمَّا رأى رَسولُ الله ﷺ أنّه لا يَصنعُ شَيئًا بايعَه، فقال الرَّجلُ: يا رسولَ الله، نَذْرِي، فقال: «إنِّي لم أُمْسِكْ عَنهُ منذُ اليومِ إلّا لتُوفِيَ بنَذْرِك»، قال: يا رسولَ الله، ألا أوْمَضْتَ إليَّ؟ فقالَ رسولُ الله ﷺ: «إنَّهُ ليَس لِنبيٍّ أن يُومِضَ».  </w:t>
      </w:r>
      <w:r>
        <w:rPr>
          <w:color w:val="000000"/>
          <w:rtl w:val="1"/>
        </w:rPr>
        <w:t xml:space="preserve">قال أبو غالب: فسَألتُ عن صَنيعِ أَنسٍ في قِيامِه على جِنازةِ المَرأةِ عند عَجِيزتِها، فحدَّثوني أنَّه إنّما كان لأنّه لم تكن النُّعوشُ، فكان يقومُ الإمامُ حِيالَ عَجِيزتِها يَستُرها مِن القوم. </w:t>
      </w:r>
      <w:r>
        <w:rPr>
          <w:color w:val="000000"/>
          <w:rtl w:val="1"/>
        </w:rPr>
        <w:t xml:space="preserve">قال أبو داود: قولُ النّبيِّ ﷺ: «أُمِرتُ أن أُقاتلَ الناسَ حتى يقولوا: لا إلهَ إلّا الله» نَسَخَ من هذا الحديثِ الوفاءَ بالنَّذر في قتْلِه لقولِه: إنِّي قد تُبتُ. </w:t>
      </w:r>
    </w:p>
    <w:p>
      <w:pPr>
        <w:bidi w:val="1"/>
        <w:jc w:val="start"/>
      </w:pPr>
      <w:r>
        <w:rPr>
          <w:rtl w:val="1"/>
        </w:rPr>
        <w:t>درجة الحديث: صحيح / صحيح</w:t>
      </w:r>
    </w:p>
    <w:p>
      <w:pPr>
        <w:bidi w:val="1"/>
        <w:jc w:val="start"/>
      </w:pPr>
      <w:r>
        <w:rPr>
          <w:rtl w:val="1"/>
        </w:rPr>
        <w:t>الشرح: الدلالة: الأمور بمقاصدها - القواعد الفقهية</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مشروعية النذر والوفاء به - النذور</w:t>
      </w:r>
    </w:p>
    <w:p>
      <w:pPr>
        <w:bidi w:val="1"/>
        <w:jc w:val="start"/>
      </w:pPr>
      <w:r>
        <w:rPr>
          <w:rtl w:val="1"/>
        </w:rPr>
        <w:t>الشرح: الدلالة: التصور الإسلامي للقيم - التصور الإسلامي</w:t>
      </w:r>
    </w:p>
    <w:p>
      <w:pPr>
        <w:bidi w:val="1"/>
        <w:jc w:val="start"/>
      </w:pPr>
      <w:r>
        <w:rPr>
          <w:rtl w:val="1"/>
        </w:rPr>
        <w:t>الشرح: الدلالة: آداب الجنائز - الآداب الاجتماعية</w:t>
      </w:r>
    </w:p>
    <w:p>
      <w:pPr>
        <w:bidi w:val="1"/>
        <w:jc w:val="start"/>
      </w:pPr>
      <w:r>
        <w:rPr>
          <w:rtl w:val="1"/>
        </w:rPr>
        <w:t>الشرح: الدلالة: صور من المعركة - غزوة هوازن ويوم حنين</w:t>
      </w:r>
    </w:p>
    <w:p>
      <w:pPr>
        <w:bidi w:val="1"/>
        <w:jc w:val="start"/>
      </w:pPr>
      <w:r>
        <w:rPr>
          <w:rtl w:val="1"/>
        </w:rPr>
        <w:t>الشرح: الدلالة: أسلوب القدوة</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التميز - المباديء</w:t>
      </w:r>
    </w:p>
    <w:p>
      <w:pPr>
        <w:bidi w:val="1"/>
        <w:jc w:val="start"/>
      </w:pPr>
      <w:r>
        <w:rPr>
          <w:rtl w:val="1"/>
        </w:rPr>
        <w:t>الشرح: الدلالة: الالتزام بالكتاب والسنة</w:t>
      </w:r>
    </w:p>
    <w:p>
      <w:pPr>
        <w:bidi w:val="1"/>
        <w:jc w:val="start"/>
      </w:pPr>
      <w:r>
        <w:rPr>
          <w:rtl w:val="1"/>
        </w:rPr>
        <w:t>الشرح: الدلالة: الخبرة السابقة - مبادئ التعلم وشروطه</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الخبرة المتراكمة - أساليب البحث عن المعرفة</w:t>
      </w:r>
    </w:p>
    <w:p>
      <w:pPr>
        <w:bidi w:val="1"/>
        <w:jc w:val="start"/>
      </w:pPr>
      <w:r>
        <w:rPr>
          <w:rtl w:val="1"/>
        </w:rPr>
        <w:t>الشرح: الدلالة: الاقتداء - أساليب البحث عن المعرفة</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التوبة - أساليب التقويم</w:t>
      </w:r>
    </w:p>
    <w:p>
      <w:pPr>
        <w:bidi w:val="1"/>
        <w:jc w:val="start"/>
      </w:pPr>
      <w:r>
        <w:rPr>
          <w:rtl w:val="1"/>
        </w:rPr>
        <w:t>الشرح: الدلالة: مكان وقوف الإمام من الرجل والمرأة - كيفية صلاة الجنازة</w:t>
      </w:r>
    </w:p>
    <w:p>
      <w:pPr>
        <w:bidi w:val="1"/>
        <w:jc w:val="start"/>
      </w:pPr>
      <w:r>
        <w:rPr>
          <w:rtl w:val="1"/>
        </w:rPr>
        <w:t>الشرح: الدلالة: التكبير في صلاة الجنازة - كيفية صلاة الجنازة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