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قال يجزئه غسل يديه-كتاب الطهارة وسننها-سنن ابن ماجة — رقم الحديث: 593 — الرقم الفرعي: 99 — الرقم الأصلي: 593</w:t>
        <w:br/>
      </w:r>
      <w:r>
        <w:rPr>
          <w:rtl w:val="1"/>
        </w:rPr>
        <w:t xml:space="preserve"> حدثنا أبو بكر بن أبي شيبة ثنا عبد الله بن المبارك عن يونس عن الزّهريّ عن أبي سلمة عن عائشة</w:t>
        <w:br/>
      </w:r>
      <w:r>
        <w:rPr>
          <w:color w:val="FF0000"/>
          <w:rtl w:val="1"/>
        </w:rPr>
        <w:t xml:space="preserve">أنّ النبيّ ﷺ كان إذا أرادَ أن يأكلَ وهو جُنُب، غَسَلَ يدَيه.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الأكل والشرب - ما يباح للجنب</w:t>
      </w:r>
    </w:p>
    <w:p>
      <w:pPr>
        <w:bidi w:val="1"/>
        <w:jc w:val="start"/>
      </w:pPr>
      <w:r>
        <w:rPr>
          <w:rtl w:val="1"/>
        </w:rPr>
        <w:t>الشرح: الدلالة: غسل اليدين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