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أنّ فتنة هذه الأمة في المال-كتاب الزهد-سنن الترمذي — رقم الحديث: 2336 — الرقم الفرعي: 99 — الرقم الأصلي: 2337</w:t>
        <w:br/>
      </w:r>
      <w:r>
        <w:rPr>
          <w:rtl w:val="1"/>
        </w:rPr>
        <w:t xml:space="preserve"> حدثنا أحمد بن منيع حدثنا الحسن بن سوّار حدثنا ليث بن سعد عن معاوية بن صالح أنّ عبد الرحمن بن جبير بن نفير حدثه عن أبيه عن كعب بن عياض قال:سمعت النبيّ صلى الله عليه وسلم</w:t>
        <w:br/>
      </w:r>
      <w:r>
        <w:rPr>
          <w:color w:val="000000"/>
          <w:rtl w:val="1"/>
        </w:rPr>
        <w:t xml:space="preserve">يقول:  </w:t>
      </w:r>
      <w:r>
        <w:rPr>
          <w:color w:val="FF0000"/>
          <w:rtl w:val="1"/>
        </w:rPr>
        <w:t xml:space="preserve">«إنَّ لكُلِّ أُمَّةٍ فِتْنة، وفِتنةُ أُمّتي المالُ». </w:t>
      </w:r>
      <w:r>
        <w:rPr>
          <w:color w:val="000000"/>
          <w:rtl w:val="1"/>
        </w:rPr>
        <w:t xml:space="preserve">هذا حديثٌ حسنٌ صحيحٌ غريب،  </w:t>
      </w:r>
      <w:r>
        <w:rPr>
          <w:color w:val="000000"/>
          <w:rtl w:val="1"/>
        </w:rPr>
        <w:t xml:space="preserve">إنّما نَعرفُه من حديثِ مُعاويةَ بنِ صالح. </w:t>
      </w:r>
    </w:p>
    <w:p>
      <w:pPr>
        <w:bidi w:val="1"/>
        <w:jc w:val="start"/>
      </w:pPr>
      <w:r>
        <w:rPr>
          <w:rtl w:val="1"/>
        </w:rPr>
        <w:t>درجة الحديث: صحيح / صحيح</w:t>
      </w:r>
    </w:p>
    <w:p>
      <w:pPr>
        <w:bidi w:val="1"/>
        <w:jc w:val="start"/>
      </w:pPr>
      <w:r>
        <w:rPr>
          <w:rtl w:val="1"/>
        </w:rPr>
        <w:t>الشرح: الدلالة: العوائق المادية</w:t>
      </w:r>
    </w:p>
    <w:p>
      <w:pPr>
        <w:bidi w:val="1"/>
        <w:jc w:val="start"/>
      </w:pPr>
      <w:r>
        <w:rPr>
          <w:rtl w:val="1"/>
        </w:rPr>
        <w:t>الشرح: الدلالة: التصور الإسلامي للحياة الدنيا - التصور الإسلامي</w:t>
      </w:r>
    </w:p>
    <w:p>
      <w:pPr>
        <w:bidi w:val="1"/>
        <w:jc w:val="start"/>
      </w:pPr>
      <w:r>
        <w:rPr>
          <w:rtl w:val="1"/>
        </w:rPr>
        <w:t>الشرح: الدلالة: الورع والزهد - القيم والأخلاق المحمودة</w:t>
      </w:r>
    </w:p>
    <w:p>
      <w:pPr>
        <w:bidi w:val="1"/>
        <w:jc w:val="start"/>
      </w:pPr>
      <w:r>
        <w:rPr>
          <w:rtl w:val="1"/>
        </w:rPr>
        <w:t>الشرح: الدلالة: إيثار الآخرة على الدنيا. - القيم والأخلاق المحمودة</w:t>
      </w:r>
    </w:p>
    <w:p>
      <w:pPr>
        <w:bidi w:val="1"/>
        <w:jc w:val="start"/>
      </w:pPr>
      <w:r>
        <w:rPr>
          <w:rtl w:val="1"/>
        </w:rPr>
        <w:t>الشرح: الدلالة: إيثار الدنيا على الآخرة - القيم والأخلاق المذمومة</w:t>
      </w:r>
    </w:p>
    <w:p>
      <w:pPr>
        <w:bidi w:val="1"/>
        <w:jc w:val="start"/>
      </w:pPr>
      <w:r>
        <w:rPr>
          <w:rtl w:val="1"/>
        </w:rPr>
        <w:t>الشرح: الدلالة: الانشغال بالدنيا وكراهية الموت</w:t>
      </w:r>
    </w:p>
    <w:p>
      <w:pPr>
        <w:bidi w:val="1"/>
        <w:jc w:val="start"/>
      </w:pPr>
      <w:r>
        <w:rPr>
          <w:rtl w:val="1"/>
        </w:rPr>
        <w:t>الشرح: الدلالة: حسن صحيح غريب - الغريب ( الفرد )</w:t>
      </w:r>
    </w:p>
    <w:p>
      <w:pPr>
        <w:bidi w:val="1"/>
        <w:jc w:val="start"/>
      </w:pPr>
      <w:r>
        <w:rPr>
          <w:rtl w:val="1"/>
        </w:rPr>
        <w:t>الشرح: الدلالة: المبحث الأول: بسط الدنيا والتنافس فيها والحرص عليها - الفتن المتعلقة بالمعاملات</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