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المزارعة والمؤاجرة-كتاب البيوع-صحيح مسلم — رقم الحديث: 1549 — الرقم الفرعي: 2 — الرقم الأصلي: 1549</w:t>
        <w:br/>
      </w:r>
      <w:r>
        <w:rPr>
          <w:rtl w:val="1"/>
        </w:rPr>
        <w:t xml:space="preserve"> حدثنا إسحاق بن منصور أخبرنا يحيى بن حمّاد أخبرنا أبو عَوانة عن سليمان الشَّيْبانيّ عن عبد الله بن السائب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دخَلْنا على عبدِ الله بنِ مَعقِلٍ فسَأَلناه عن المُزارَعة؟  </w:t>
      </w:r>
      <w:r>
        <w:rPr>
          <w:color w:val="FF0000"/>
          <w:rtl w:val="1"/>
        </w:rPr>
        <w:t xml:space="preserve">فقال: زَعَم ثابتٌ أنَّ رسولَ الله ﷺ نَهى عن المُزارَعة،  </w:t>
      </w:r>
      <w:r>
        <w:rPr>
          <w:color w:val="FF0000"/>
          <w:rtl w:val="1"/>
        </w:rPr>
        <w:t xml:space="preserve">وأَمرَ بالمؤاجَرة، وقال: «لا بأس بها».  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