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لزوم السنّة-كتاب السنّة-سنن أبي داود — رقم الحديث: 4619 — الرقم الفرعي: 99 — الرقم الأصلي: 4619</w:t>
        <w:br/>
      </w:r>
      <w:r>
        <w:rPr>
          <w:rtl w:val="1"/>
        </w:rPr>
        <w:t xml:space="preserve"> حدثنا ابن كثير قال: أخبرنا سفيان عن حميد الطويل عن الحسن</w:t>
        <w:br/>
      </w:r>
      <w:r>
        <w:rPr>
          <w:color w:val="FF0000"/>
          <w:rtl w:val="1"/>
        </w:rPr>
        <w:t xml:space="preserve">{كَذَلِكَ نَسْلُكُهُ فِي قُلُوبِ الْمُجْرِمِينَ} [الحجر: 12]، قال: الشِّرك. </w:t>
      </w:r>
    </w:p>
    <w:p>
      <w:pPr>
        <w:bidi w:val="1"/>
        <w:jc w:val="start"/>
      </w:pPr>
      <w:r>
        <w:rPr>
          <w:rtl w:val="1"/>
        </w:rPr>
        <w:t>درجة الحديث: أثر إسناده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التنزيه في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التحذير من الابتداع في الدين واتباع الهوى - ما ورد في الرأي المذموم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