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يأتي زمانٌ إلاّ الذي بعده شرّ منه-كتاب الفتن-صحيح البخاري — رقم الحديث: 7068 — الرقم الفرعي: 99 — الرقم الأصلي: 7068</w:t>
        <w:br/>
      </w:r>
      <w:r>
        <w:rPr>
          <w:rtl w:val="1"/>
        </w:rPr>
        <w:t xml:space="preserve"> حدثنا محمد بن يوسف حدثنا سفيان عن الزبير بن عديّ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أتينا أنسَ بنَ مالكٍ فشَكَوْنا إليه ما نَلْقَى منَ الحجّاجِ،  </w:t>
      </w:r>
      <w:r>
        <w:rPr>
          <w:color w:val="FF0000"/>
          <w:rtl w:val="1"/>
        </w:rPr>
        <w:t xml:space="preserve">فقال: «اصْبِرُوا، فإنَّه لا يأتي عليكم زمانٌ إلَّا الَّذي بعدَه شَرٌّ منه حتَّى تَلْقَوْا رَبَّكُم»  </w:t>
      </w:r>
      <w:r>
        <w:rPr>
          <w:color w:val="000000"/>
          <w:rtl w:val="1"/>
        </w:rPr>
        <w:t xml:space="preserve">سمعتُه من نبيِّكم ﷺ.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إعجاز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ما ورد في تغير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الإعجاز بالإخبار عن الماضي و المستقبل - إعجاز القرآن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قيمة الصبر في مواجهة الظلم والاستبداد - قيم الصبر والثبات</w:t>
      </w:r>
    </w:p>
    <w:p>
      <w:pPr>
        <w:bidi w:val="1"/>
        <w:jc w:val="start"/>
      </w:pPr>
      <w:r>
        <w:rPr>
          <w:rtl w:val="1"/>
        </w:rPr>
        <w:t>الشرح: الدلالة: إشاعة الظلم</w:t>
      </w:r>
    </w:p>
    <w:p>
      <w:pPr>
        <w:bidi w:val="1"/>
        <w:jc w:val="start"/>
      </w:pPr>
      <w:r>
        <w:rPr>
          <w:rtl w:val="1"/>
        </w:rPr>
        <w:t>الشرح: الدلالة: ارتفاع العلم بالقرآن في آخر الزمان - فضل حفظ القرآن وتعاهده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طروء الفسق على رئيس الدولة - انتهاء ولاية رئيس الدولة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تمهيد: أحاديث جامعة في أشراط الساعة الصغرى - الفتن وأشراط الساعة الصغرى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