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الآثام المتولدة عن شرب الخمر-كتاب الأشربة-سنن النسائي — رقم الحديث: 5669 — الرقم الفرعي: 99 — الرقم الأصلي: 5669</w:t>
        <w:br/>
      </w:r>
      <w:r>
        <w:rPr>
          <w:rtl w:val="1"/>
        </w:rPr>
        <w:t xml:space="preserve"> أخبرني محمد بن آدم بن سليمان عن عبد الرحيم عن يزيد ح وأنبأنا واصل بن عبد الأعلى حدثنا ابن فضيل عن يزيد بن أبي زياد عن مجاهد عن عبدِ الله بنِ عَمرٍو ، عن النّبيِّ ﷺ، سند آخر   وقال محمدُ بنُ آدم: عن رَسولِ الله ﷺ </w:t>
        <w:br/>
      </w:r>
      <w:r>
        <w:rPr>
          <w:color w:val="000000"/>
          <w:rtl w:val="1"/>
        </w:rPr>
        <w:t xml:space="preserve">قال: «مَن شَرِبَ الخَمرَ فجعلَها في بَطنِه، لم يَقبَل اللهُ منه صلاةً سبعًا إن مات فيها.  </w:t>
      </w:r>
      <w:r>
        <w:rPr>
          <w:color w:val="000000"/>
          <w:rtl w:val="1"/>
        </w:rPr>
        <w:t xml:space="preserve">- وقال ابنُ آدم: «فيهنَّ ماتَ كافرًا» -  </w:t>
      </w:r>
      <w:r>
        <w:rPr>
          <w:color w:val="000000"/>
          <w:rtl w:val="1"/>
        </w:rPr>
        <w:t xml:space="preserve">فإن أَذهبَتْ عقلَه عن شيءٍ من الفَرائض  </w:t>
      </w:r>
      <w:r>
        <w:rPr>
          <w:color w:val="000000"/>
          <w:rtl w:val="1"/>
        </w:rPr>
        <w:t xml:space="preserve">- وقال ابنُ آدم: القُرآن –  </w:t>
      </w:r>
      <w:r>
        <w:rPr>
          <w:color w:val="000000"/>
          <w:rtl w:val="1"/>
        </w:rPr>
        <w:t xml:space="preserve">لم تُقبَل له صلاةٌ أربعينَ يومًا، إن مات فيها»   </w:t>
      </w:r>
      <w:r>
        <w:rPr>
          <w:color w:val="000000"/>
          <w:rtl w:val="1"/>
        </w:rPr>
        <w:t xml:space="preserve">- وقال ابن آدم: «فيهنَّ ماتَ كافرًا» -.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