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يغسل-أول كتاب الجنائز-سنن أبي داود — رقم الحديث: 3133 — الرقم الفرعي: 99 — الرقم الأصلي: 3133</w:t>
        <w:br/>
      </w:r>
      <w:r>
        <w:rPr>
          <w:rtl w:val="1"/>
        </w:rPr>
        <w:t xml:space="preserve"> حدثنا قتيبة بن سعيد ثنا معن بن عيسى ح وثنا عبيدالله بن عمر الجُشميّ ثنا عبد الرحمن بن مهديّ عن إبراهيم بن طهمان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رُمي رجلٌ بسَهمٍ في صَدرِه، أو في حلْقِه، فمات،  </w:t>
      </w:r>
      <w:r>
        <w:rPr>
          <w:color w:val="FF0000"/>
          <w:rtl w:val="1"/>
        </w:rPr>
        <w:t xml:space="preserve">فأُدرِجَ في ثيابِه كما هو،  </w:t>
      </w:r>
      <w:r>
        <w:rPr>
          <w:color w:val="FF0000"/>
          <w:rtl w:val="1"/>
        </w:rPr>
        <w:t xml:space="preserve">قال: ونحنُ مع رسولِ الله ﷺ.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تكفين الشهيد والمحرم - غسل الميت وتكفينه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